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38" w:rsidRPr="00BA76A0" w:rsidRDefault="00D41F38" w:rsidP="00D84EB6">
      <w:pPr>
        <w:pStyle w:val="a3"/>
        <w:spacing w:line="360" w:lineRule="auto"/>
        <w:ind w:left="0" w:firstLine="567"/>
        <w:jc w:val="center"/>
        <w:rPr>
          <w:rFonts w:ascii="Times New Roman" w:hAnsi="Times New Roman"/>
          <w:b/>
          <w:sz w:val="26"/>
          <w:szCs w:val="26"/>
        </w:rPr>
      </w:pPr>
      <w:r w:rsidRPr="00BA76A0">
        <w:rPr>
          <w:rFonts w:ascii="Times New Roman" w:hAnsi="Times New Roman"/>
          <w:b/>
          <w:sz w:val="26"/>
          <w:szCs w:val="26"/>
        </w:rPr>
        <w:t>Пояснительная записка к показателям оценки</w:t>
      </w:r>
    </w:p>
    <w:p w:rsidR="00D41F38" w:rsidRPr="00BA76A0" w:rsidRDefault="00D41F38" w:rsidP="00D84EB6">
      <w:pPr>
        <w:pStyle w:val="a3"/>
        <w:spacing w:line="360" w:lineRule="auto"/>
        <w:ind w:left="0" w:firstLine="567"/>
        <w:jc w:val="center"/>
        <w:rPr>
          <w:rFonts w:ascii="Times New Roman" w:hAnsi="Times New Roman"/>
          <w:b/>
          <w:sz w:val="26"/>
          <w:szCs w:val="26"/>
        </w:rPr>
      </w:pPr>
      <w:r w:rsidRPr="00BA76A0">
        <w:rPr>
          <w:rFonts w:ascii="Times New Roman" w:hAnsi="Times New Roman"/>
          <w:b/>
          <w:sz w:val="26"/>
          <w:szCs w:val="26"/>
        </w:rPr>
        <w:t>эффективности деятельности органов местного самоуправления</w:t>
      </w:r>
      <w:r w:rsidR="00D84EB6" w:rsidRPr="00BA76A0">
        <w:rPr>
          <w:rFonts w:ascii="Times New Roman" w:hAnsi="Times New Roman"/>
          <w:b/>
          <w:sz w:val="26"/>
          <w:szCs w:val="26"/>
        </w:rPr>
        <w:t xml:space="preserve"> Шарангского муниципального округа</w:t>
      </w:r>
    </w:p>
    <w:p w:rsidR="00D41F38" w:rsidRPr="00BA76A0" w:rsidRDefault="00D41F38" w:rsidP="00D41F38">
      <w:pPr>
        <w:pStyle w:val="a3"/>
        <w:spacing w:line="360" w:lineRule="auto"/>
        <w:ind w:left="0" w:firstLine="567"/>
        <w:jc w:val="both"/>
        <w:rPr>
          <w:rFonts w:ascii="Times New Roman" w:hAnsi="Times New Roman"/>
          <w:b/>
          <w:sz w:val="26"/>
          <w:szCs w:val="26"/>
        </w:rPr>
      </w:pPr>
    </w:p>
    <w:p w:rsidR="00D41F38" w:rsidRPr="00BA76A0" w:rsidRDefault="00F009B5" w:rsidP="00DF0854">
      <w:pPr>
        <w:pStyle w:val="a3"/>
        <w:spacing w:line="360" w:lineRule="auto"/>
        <w:ind w:left="1287"/>
        <w:jc w:val="center"/>
        <w:rPr>
          <w:rFonts w:ascii="Times New Roman" w:hAnsi="Times New Roman"/>
          <w:b/>
          <w:sz w:val="26"/>
          <w:szCs w:val="26"/>
        </w:rPr>
      </w:pPr>
      <w:r w:rsidRPr="00BA76A0">
        <w:rPr>
          <w:rFonts w:ascii="Times New Roman" w:hAnsi="Times New Roman"/>
          <w:b/>
          <w:sz w:val="26"/>
          <w:szCs w:val="26"/>
          <w:lang w:val="en-US"/>
        </w:rPr>
        <w:t>I</w:t>
      </w:r>
      <w:r w:rsidRPr="00BA76A0">
        <w:rPr>
          <w:rFonts w:ascii="Times New Roman" w:hAnsi="Times New Roman"/>
          <w:b/>
          <w:sz w:val="26"/>
          <w:szCs w:val="26"/>
        </w:rPr>
        <w:t xml:space="preserve">. </w:t>
      </w:r>
      <w:r w:rsidR="00D41F38" w:rsidRPr="00BA76A0">
        <w:rPr>
          <w:rFonts w:ascii="Times New Roman" w:hAnsi="Times New Roman"/>
          <w:b/>
          <w:sz w:val="26"/>
          <w:szCs w:val="26"/>
        </w:rPr>
        <w:t>Краткая характеристика</w:t>
      </w:r>
    </w:p>
    <w:p w:rsidR="001A7807" w:rsidRPr="00BA76A0" w:rsidRDefault="00540F3E" w:rsidP="007105E6">
      <w:pPr>
        <w:spacing w:after="0" w:line="360" w:lineRule="auto"/>
        <w:ind w:firstLine="708"/>
        <w:contextualSpacing/>
        <w:jc w:val="both"/>
        <w:rPr>
          <w:rFonts w:ascii="Times New Roman" w:hAnsi="Times New Roman"/>
          <w:sz w:val="26"/>
          <w:szCs w:val="26"/>
        </w:rPr>
      </w:pPr>
      <w:r w:rsidRPr="00BA76A0">
        <w:rPr>
          <w:rFonts w:ascii="Times New Roman" w:hAnsi="Times New Roman"/>
          <w:sz w:val="26"/>
          <w:szCs w:val="26"/>
        </w:rPr>
        <w:t xml:space="preserve">Шарангский </w:t>
      </w:r>
      <w:r w:rsidR="00053F7D" w:rsidRPr="00BA76A0">
        <w:rPr>
          <w:rFonts w:ascii="Times New Roman" w:hAnsi="Times New Roman"/>
          <w:sz w:val="26"/>
          <w:szCs w:val="26"/>
        </w:rPr>
        <w:t xml:space="preserve">муниципальный </w:t>
      </w:r>
      <w:r w:rsidRPr="00BA76A0">
        <w:rPr>
          <w:rFonts w:ascii="Times New Roman" w:hAnsi="Times New Roman"/>
          <w:sz w:val="26"/>
          <w:szCs w:val="26"/>
        </w:rPr>
        <w:t>округ</w:t>
      </w:r>
      <w:r w:rsidR="001A7807" w:rsidRPr="00BA76A0">
        <w:rPr>
          <w:rFonts w:ascii="Times New Roman" w:hAnsi="Times New Roman"/>
          <w:sz w:val="26"/>
          <w:szCs w:val="26"/>
        </w:rPr>
        <w:t xml:space="preserve"> расположен в северо-восточной части Нижег</w:t>
      </w:r>
      <w:r w:rsidR="006A1127" w:rsidRPr="00BA76A0">
        <w:rPr>
          <w:rFonts w:ascii="Times New Roman" w:hAnsi="Times New Roman"/>
          <w:sz w:val="26"/>
          <w:szCs w:val="26"/>
        </w:rPr>
        <w:t>ородской области. Площадь округа</w:t>
      </w:r>
      <w:r w:rsidR="001A7807" w:rsidRPr="00BA76A0">
        <w:rPr>
          <w:rFonts w:ascii="Times New Roman" w:hAnsi="Times New Roman"/>
          <w:sz w:val="26"/>
          <w:szCs w:val="26"/>
        </w:rPr>
        <w:t xml:space="preserve"> составляет 159,5 тыс. га, </w:t>
      </w:r>
      <w:r w:rsidRPr="00BA76A0">
        <w:rPr>
          <w:rFonts w:ascii="Times New Roman" w:hAnsi="Times New Roman"/>
          <w:sz w:val="26"/>
          <w:szCs w:val="26"/>
        </w:rPr>
        <w:t xml:space="preserve">лесами занято 85,9 тыс.га. </w:t>
      </w:r>
      <w:r w:rsidR="006A1127" w:rsidRPr="00BA76A0">
        <w:rPr>
          <w:rFonts w:ascii="Times New Roman" w:hAnsi="Times New Roman"/>
          <w:sz w:val="26"/>
          <w:szCs w:val="26"/>
        </w:rPr>
        <w:t>Шарангский муниципальный о</w:t>
      </w:r>
      <w:r w:rsidRPr="00BA76A0">
        <w:rPr>
          <w:rFonts w:ascii="Times New Roman" w:hAnsi="Times New Roman"/>
          <w:sz w:val="26"/>
          <w:szCs w:val="26"/>
        </w:rPr>
        <w:t>круг</w:t>
      </w:r>
      <w:r w:rsidR="001A7807" w:rsidRPr="00BA76A0">
        <w:rPr>
          <w:rFonts w:ascii="Times New Roman" w:hAnsi="Times New Roman"/>
          <w:sz w:val="26"/>
          <w:szCs w:val="26"/>
        </w:rPr>
        <w:t xml:space="preserve"> граничит н</w:t>
      </w:r>
      <w:r w:rsidR="006A1127" w:rsidRPr="00BA76A0">
        <w:rPr>
          <w:rFonts w:ascii="Times New Roman" w:hAnsi="Times New Roman"/>
          <w:sz w:val="26"/>
          <w:szCs w:val="26"/>
        </w:rPr>
        <w:t>а западе с Воскресенским районом</w:t>
      </w:r>
      <w:r w:rsidR="001A7807" w:rsidRPr="00BA76A0">
        <w:rPr>
          <w:rFonts w:ascii="Times New Roman" w:hAnsi="Times New Roman"/>
          <w:sz w:val="26"/>
          <w:szCs w:val="26"/>
        </w:rPr>
        <w:t xml:space="preserve">, на северо-западе – с Тонкинским районом, республикой Марий - Эл – на юге и с Кировской областью  - на востоке. Административным центром является р.п. Шаранга. </w:t>
      </w:r>
    </w:p>
    <w:p w:rsidR="00AB4BB5" w:rsidRPr="00BA76A0" w:rsidRDefault="00AB4BB5" w:rsidP="007105E6">
      <w:pPr>
        <w:spacing w:after="0" w:line="360" w:lineRule="auto"/>
        <w:ind w:firstLine="708"/>
        <w:contextualSpacing/>
        <w:jc w:val="both"/>
        <w:rPr>
          <w:rFonts w:ascii="Times New Roman" w:hAnsi="Times New Roman"/>
          <w:bCs/>
          <w:sz w:val="26"/>
          <w:szCs w:val="26"/>
        </w:rPr>
      </w:pPr>
      <w:r w:rsidRPr="00BA76A0">
        <w:rPr>
          <w:rFonts w:ascii="Times New Roman" w:hAnsi="Times New Roman"/>
          <w:bCs/>
          <w:sz w:val="26"/>
          <w:szCs w:val="26"/>
        </w:rPr>
        <w:t>По уровню социально-экономического развития Шарангский муниципальный округ относится к группе территорий со средним уровнем развития.</w:t>
      </w:r>
      <w:r w:rsidR="00A601FB">
        <w:rPr>
          <w:rFonts w:ascii="Times New Roman" w:hAnsi="Times New Roman"/>
          <w:bCs/>
          <w:sz w:val="26"/>
          <w:szCs w:val="26"/>
        </w:rPr>
        <w:t> </w:t>
      </w:r>
      <w:r w:rsidRPr="00BA76A0">
        <w:rPr>
          <w:rFonts w:ascii="Times New Roman" w:hAnsi="Times New Roman"/>
          <w:bCs/>
          <w:sz w:val="26"/>
          <w:szCs w:val="26"/>
        </w:rPr>
        <w:t>Основой экономического потенциала округа являются сельское хозяйство, деревообрабатывающая и пищевая промышленность.</w:t>
      </w:r>
    </w:p>
    <w:p w:rsidR="00AB4BB5" w:rsidRPr="00BA76A0" w:rsidRDefault="00AB4BB5" w:rsidP="007105E6">
      <w:pPr>
        <w:spacing w:after="0" w:line="360" w:lineRule="auto"/>
        <w:contextualSpacing/>
        <w:jc w:val="both"/>
        <w:rPr>
          <w:rFonts w:ascii="Times New Roman" w:hAnsi="Times New Roman"/>
          <w:bCs/>
          <w:sz w:val="26"/>
          <w:szCs w:val="26"/>
        </w:rPr>
      </w:pPr>
      <w:r w:rsidRPr="00BA76A0">
        <w:rPr>
          <w:rFonts w:ascii="Times New Roman" w:hAnsi="Times New Roman"/>
          <w:bCs/>
          <w:sz w:val="26"/>
          <w:szCs w:val="26"/>
        </w:rPr>
        <w:t>В структуре промышленности округа – лесозаготовительные и лесоперерабатывающие  предприятия. Сельхозпредприятия  специализируются в основном на животноводстве (основными видами деятельности которого являются производство молока и мяса, разведение крупного рогатого скота) и растениеводстве (специализирующиеся на выращивании зерновых, кормовых культур и льна-долгунца).</w:t>
      </w:r>
    </w:p>
    <w:p w:rsidR="00AB4BB5" w:rsidRPr="00BA76A0" w:rsidRDefault="00AB4BB5" w:rsidP="007105E6">
      <w:pPr>
        <w:spacing w:after="0" w:line="360" w:lineRule="auto"/>
        <w:contextualSpacing/>
        <w:jc w:val="both"/>
        <w:rPr>
          <w:rFonts w:ascii="Times New Roman" w:hAnsi="Times New Roman"/>
          <w:bCs/>
          <w:sz w:val="26"/>
          <w:szCs w:val="26"/>
        </w:rPr>
      </w:pPr>
      <w:r w:rsidRPr="00BA76A0">
        <w:rPr>
          <w:rFonts w:ascii="Times New Roman" w:hAnsi="Times New Roman"/>
          <w:bCs/>
          <w:sz w:val="26"/>
          <w:szCs w:val="26"/>
        </w:rPr>
        <w:t>Несмотря на то, что округ расположен в первом агроклиматическом районе области и характеризуется наиболее суровой зимой, прохладным летом в округе также успешно развивается садоводство и есть опыт выращивания овощей закрытого грунта с помощью инновационных технологий.</w:t>
      </w:r>
    </w:p>
    <w:p w:rsidR="00AB4BB5" w:rsidRPr="00BA76A0" w:rsidRDefault="00AB4BB5" w:rsidP="00A601FB">
      <w:pPr>
        <w:pStyle w:val="a3"/>
        <w:spacing w:after="0" w:line="360" w:lineRule="auto"/>
        <w:ind w:left="0" w:firstLine="567"/>
        <w:jc w:val="both"/>
        <w:rPr>
          <w:rFonts w:ascii="Times New Roman" w:hAnsi="Times New Roman"/>
          <w:bCs/>
          <w:sz w:val="26"/>
          <w:szCs w:val="26"/>
        </w:rPr>
      </w:pPr>
      <w:r w:rsidRPr="00BA76A0">
        <w:rPr>
          <w:rFonts w:ascii="Times New Roman" w:hAnsi="Times New Roman"/>
          <w:bCs/>
          <w:sz w:val="26"/>
          <w:szCs w:val="26"/>
        </w:rPr>
        <w:t xml:space="preserve">В целом климатические условия округа благоприятствуют активному проживанию человека и развитию сельского хозяйства. </w:t>
      </w:r>
    </w:p>
    <w:p w:rsidR="005D14D1" w:rsidRPr="00BA76A0" w:rsidRDefault="005D14D1" w:rsidP="007105E6">
      <w:pPr>
        <w:pStyle w:val="a3"/>
        <w:spacing w:after="0" w:line="360" w:lineRule="auto"/>
        <w:ind w:left="0" w:firstLine="567"/>
        <w:jc w:val="center"/>
        <w:rPr>
          <w:rFonts w:ascii="Times New Roman" w:hAnsi="Times New Roman"/>
          <w:b/>
          <w:sz w:val="26"/>
          <w:szCs w:val="26"/>
        </w:rPr>
      </w:pPr>
    </w:p>
    <w:p w:rsidR="005D14D1" w:rsidRPr="00BA76A0" w:rsidRDefault="005D14D1" w:rsidP="007105E6">
      <w:pPr>
        <w:pStyle w:val="a3"/>
        <w:spacing w:after="0" w:line="360" w:lineRule="auto"/>
        <w:ind w:left="0" w:firstLine="567"/>
        <w:jc w:val="center"/>
        <w:rPr>
          <w:rFonts w:ascii="Times New Roman" w:hAnsi="Times New Roman"/>
          <w:b/>
          <w:sz w:val="26"/>
          <w:szCs w:val="26"/>
        </w:rPr>
      </w:pPr>
    </w:p>
    <w:p w:rsidR="0046039D" w:rsidRPr="00BA76A0" w:rsidRDefault="0046039D" w:rsidP="007105E6">
      <w:pPr>
        <w:pStyle w:val="a3"/>
        <w:spacing w:after="0" w:line="360" w:lineRule="auto"/>
        <w:ind w:left="0" w:firstLine="567"/>
        <w:jc w:val="center"/>
        <w:rPr>
          <w:rFonts w:ascii="Times New Roman" w:hAnsi="Times New Roman"/>
          <w:b/>
          <w:sz w:val="26"/>
          <w:szCs w:val="26"/>
        </w:rPr>
      </w:pPr>
    </w:p>
    <w:p w:rsidR="0046039D" w:rsidRPr="00BA76A0" w:rsidRDefault="0046039D" w:rsidP="007105E6">
      <w:pPr>
        <w:pStyle w:val="a3"/>
        <w:spacing w:after="0" w:line="360" w:lineRule="auto"/>
        <w:ind w:left="0" w:firstLine="567"/>
        <w:jc w:val="center"/>
        <w:rPr>
          <w:rFonts w:ascii="Times New Roman" w:hAnsi="Times New Roman"/>
          <w:b/>
          <w:sz w:val="26"/>
          <w:szCs w:val="26"/>
        </w:rPr>
      </w:pPr>
    </w:p>
    <w:p w:rsidR="00A601FB" w:rsidRDefault="00A601FB" w:rsidP="007105E6">
      <w:pPr>
        <w:pStyle w:val="a3"/>
        <w:spacing w:after="0" w:line="360" w:lineRule="auto"/>
        <w:ind w:left="0" w:firstLine="567"/>
        <w:jc w:val="center"/>
        <w:rPr>
          <w:rFonts w:ascii="Times New Roman" w:hAnsi="Times New Roman"/>
          <w:b/>
          <w:sz w:val="26"/>
          <w:szCs w:val="26"/>
        </w:rPr>
      </w:pPr>
    </w:p>
    <w:p w:rsidR="00046605" w:rsidRPr="00BA76A0" w:rsidRDefault="00C4495F" w:rsidP="007105E6">
      <w:pPr>
        <w:pStyle w:val="a3"/>
        <w:spacing w:after="0" w:line="360" w:lineRule="auto"/>
        <w:ind w:left="0" w:firstLine="567"/>
        <w:jc w:val="center"/>
        <w:rPr>
          <w:rFonts w:ascii="Times New Roman" w:hAnsi="Times New Roman"/>
          <w:b/>
          <w:sz w:val="26"/>
          <w:szCs w:val="26"/>
        </w:rPr>
      </w:pPr>
      <w:r w:rsidRPr="00BA76A0">
        <w:rPr>
          <w:rFonts w:ascii="Times New Roman" w:hAnsi="Times New Roman"/>
          <w:b/>
          <w:sz w:val="26"/>
          <w:szCs w:val="26"/>
          <w:lang w:val="en-US"/>
        </w:rPr>
        <w:lastRenderedPageBreak/>
        <w:t>II</w:t>
      </w:r>
      <w:r w:rsidRPr="00BA76A0">
        <w:rPr>
          <w:rFonts w:ascii="Times New Roman" w:hAnsi="Times New Roman"/>
          <w:b/>
          <w:sz w:val="26"/>
          <w:szCs w:val="26"/>
        </w:rPr>
        <w:t>.</w:t>
      </w:r>
      <w:r w:rsidR="00046605" w:rsidRPr="00BA76A0">
        <w:rPr>
          <w:rFonts w:ascii="Times New Roman" w:hAnsi="Times New Roman"/>
          <w:b/>
          <w:sz w:val="26"/>
          <w:szCs w:val="26"/>
        </w:rPr>
        <w:t>Экономическое развитие</w:t>
      </w:r>
    </w:p>
    <w:p w:rsidR="007F6F53" w:rsidRPr="00BA76A0" w:rsidRDefault="007F6F53" w:rsidP="00FA1AC5">
      <w:pPr>
        <w:spacing w:after="0" w:line="360" w:lineRule="auto"/>
        <w:ind w:firstLine="709"/>
        <w:contextualSpacing/>
        <w:jc w:val="both"/>
        <w:rPr>
          <w:rFonts w:ascii="Times New Roman" w:hAnsi="Times New Roman" w:cs="Times New Roman"/>
          <w:bCs/>
          <w:color w:val="000000"/>
          <w:sz w:val="26"/>
          <w:szCs w:val="26"/>
        </w:rPr>
      </w:pPr>
      <w:r w:rsidRPr="00BA76A0">
        <w:rPr>
          <w:rFonts w:ascii="Times New Roman" w:hAnsi="Times New Roman" w:cs="Times New Roman"/>
          <w:bCs/>
          <w:color w:val="000000"/>
          <w:sz w:val="26"/>
          <w:szCs w:val="26"/>
        </w:rPr>
        <w:t>По уровню социально-экономического развити</w:t>
      </w:r>
      <w:r w:rsidR="000F73A6" w:rsidRPr="00BA76A0">
        <w:rPr>
          <w:rFonts w:ascii="Times New Roman" w:hAnsi="Times New Roman" w:cs="Times New Roman"/>
          <w:bCs/>
          <w:color w:val="000000"/>
          <w:sz w:val="26"/>
          <w:szCs w:val="26"/>
        </w:rPr>
        <w:t>я Шарангский муниципальный округ</w:t>
      </w:r>
      <w:r w:rsidRPr="00BA76A0">
        <w:rPr>
          <w:rFonts w:ascii="Times New Roman" w:hAnsi="Times New Roman" w:cs="Times New Roman"/>
          <w:bCs/>
          <w:color w:val="000000"/>
          <w:sz w:val="26"/>
          <w:szCs w:val="26"/>
        </w:rPr>
        <w:t xml:space="preserve"> относится к группе территорий со средним уровнем развития.</w:t>
      </w:r>
    </w:p>
    <w:p w:rsidR="007F6F53" w:rsidRPr="00BA76A0" w:rsidRDefault="007F6F53" w:rsidP="00FA1AC5">
      <w:pPr>
        <w:spacing w:after="0" w:line="360" w:lineRule="auto"/>
        <w:ind w:firstLine="709"/>
        <w:contextualSpacing/>
        <w:jc w:val="both"/>
        <w:rPr>
          <w:rFonts w:ascii="Times New Roman" w:hAnsi="Times New Roman" w:cs="Times New Roman"/>
          <w:color w:val="000000"/>
          <w:sz w:val="26"/>
          <w:szCs w:val="26"/>
        </w:rPr>
      </w:pPr>
      <w:r w:rsidRPr="00BA76A0">
        <w:rPr>
          <w:rFonts w:ascii="Times New Roman" w:hAnsi="Times New Roman" w:cs="Times New Roman"/>
          <w:color w:val="000000"/>
          <w:sz w:val="26"/>
          <w:szCs w:val="26"/>
        </w:rPr>
        <w:t xml:space="preserve">Основой </w:t>
      </w:r>
      <w:r w:rsidR="000F73A6" w:rsidRPr="00BA76A0">
        <w:rPr>
          <w:rFonts w:ascii="Times New Roman" w:hAnsi="Times New Roman" w:cs="Times New Roman"/>
          <w:color w:val="000000"/>
          <w:sz w:val="26"/>
          <w:szCs w:val="26"/>
        </w:rPr>
        <w:t>экономического потенциала округа</w:t>
      </w:r>
      <w:r w:rsidRPr="00BA76A0">
        <w:rPr>
          <w:rFonts w:ascii="Times New Roman" w:hAnsi="Times New Roman" w:cs="Times New Roman"/>
          <w:color w:val="000000"/>
          <w:sz w:val="26"/>
          <w:szCs w:val="26"/>
        </w:rPr>
        <w:t xml:space="preserve"> являются сельское хозяйство, деревообрабатывающая и пищевая промышленность. </w:t>
      </w:r>
    </w:p>
    <w:p w:rsidR="00E4334F" w:rsidRPr="00BA76A0" w:rsidRDefault="00FD211B"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color w:val="000000"/>
          <w:sz w:val="26"/>
          <w:szCs w:val="26"/>
        </w:rPr>
        <w:t>Объем отгруженной продукции, работ, услуг по полному кругу п</w:t>
      </w:r>
      <w:r w:rsidR="00F55755" w:rsidRPr="00BA76A0">
        <w:rPr>
          <w:rFonts w:ascii="Times New Roman" w:hAnsi="Times New Roman" w:cs="Times New Roman"/>
          <w:color w:val="000000"/>
          <w:sz w:val="26"/>
          <w:szCs w:val="26"/>
        </w:rPr>
        <w:t>редприятий и организаций за 2025 год составил 4 млрд. 197</w:t>
      </w:r>
      <w:r w:rsidR="00BD3D9E" w:rsidRPr="00BA76A0">
        <w:rPr>
          <w:rFonts w:ascii="Times New Roman" w:hAnsi="Times New Roman" w:cs="Times New Roman"/>
          <w:color w:val="000000"/>
          <w:sz w:val="26"/>
          <w:szCs w:val="26"/>
        </w:rPr>
        <w:t xml:space="preserve"> млн. рублей, рост к 2024</w:t>
      </w:r>
      <w:r w:rsidRPr="00BA76A0">
        <w:rPr>
          <w:rFonts w:ascii="Times New Roman" w:hAnsi="Times New Roman" w:cs="Times New Roman"/>
          <w:color w:val="000000"/>
          <w:sz w:val="26"/>
          <w:szCs w:val="26"/>
        </w:rPr>
        <w:t xml:space="preserve"> году </w:t>
      </w:r>
      <w:r w:rsidR="00BD3D9E" w:rsidRPr="00BA76A0">
        <w:rPr>
          <w:rFonts w:ascii="Times New Roman" w:hAnsi="Times New Roman" w:cs="Times New Roman"/>
          <w:color w:val="000000"/>
          <w:sz w:val="26"/>
          <w:szCs w:val="26"/>
          <w:shd w:val="clear" w:color="auto" w:fill="FFFFFF" w:themeFill="background1"/>
        </w:rPr>
        <w:t>составил 131</w:t>
      </w:r>
      <w:r w:rsidRPr="00BA76A0">
        <w:rPr>
          <w:rFonts w:ascii="Times New Roman" w:hAnsi="Times New Roman" w:cs="Times New Roman"/>
          <w:color w:val="000000"/>
          <w:sz w:val="26"/>
          <w:szCs w:val="26"/>
          <w:shd w:val="clear" w:color="auto" w:fill="FFFFFF" w:themeFill="background1"/>
        </w:rPr>
        <w:t xml:space="preserve">%. </w:t>
      </w:r>
      <w:r w:rsidRPr="00BA76A0">
        <w:rPr>
          <w:rFonts w:ascii="Times New Roman" w:hAnsi="Times New Roman" w:cs="Times New Roman"/>
          <w:sz w:val="26"/>
          <w:szCs w:val="26"/>
        </w:rPr>
        <w:t xml:space="preserve">В валовом объеме материального производства </w:t>
      </w:r>
      <w:r w:rsidR="00BD3D9E" w:rsidRPr="00BA76A0">
        <w:rPr>
          <w:rFonts w:ascii="Times New Roman" w:hAnsi="Times New Roman" w:cs="Times New Roman"/>
          <w:sz w:val="26"/>
          <w:szCs w:val="26"/>
        </w:rPr>
        <w:t>промышленная отрасль занимает 46</w:t>
      </w:r>
      <w:r w:rsidRPr="00BA76A0">
        <w:rPr>
          <w:rFonts w:ascii="Times New Roman" w:hAnsi="Times New Roman" w:cs="Times New Roman"/>
          <w:sz w:val="26"/>
          <w:szCs w:val="26"/>
        </w:rPr>
        <w:t xml:space="preserve"> %, сельское хоз</w:t>
      </w:r>
      <w:r w:rsidR="00BD3D9E" w:rsidRPr="00BA76A0">
        <w:rPr>
          <w:rFonts w:ascii="Times New Roman" w:hAnsi="Times New Roman" w:cs="Times New Roman"/>
          <w:sz w:val="26"/>
          <w:szCs w:val="26"/>
        </w:rPr>
        <w:t>яйство - 25</w:t>
      </w:r>
      <w:r w:rsidRPr="00BA76A0">
        <w:rPr>
          <w:rFonts w:ascii="Times New Roman" w:hAnsi="Times New Roman" w:cs="Times New Roman"/>
          <w:sz w:val="26"/>
          <w:szCs w:val="26"/>
        </w:rPr>
        <w:t xml:space="preserve"> %.  </w:t>
      </w:r>
    </w:p>
    <w:p w:rsidR="00BD3D9E" w:rsidRPr="00BA76A0" w:rsidRDefault="00BD3D9E"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Объем отгрузки по полному кругу предприятий промышленной  отрасли за отчетный  год (оценка) составил </w:t>
      </w:r>
      <w:r w:rsidRPr="00BA76A0">
        <w:rPr>
          <w:rFonts w:ascii="Times New Roman" w:hAnsi="Times New Roman" w:cs="Times New Roman"/>
          <w:bCs/>
          <w:sz w:val="26"/>
          <w:szCs w:val="26"/>
        </w:rPr>
        <w:t>1млрд. 969 млн. рублей, рост 137 % к</w:t>
      </w:r>
      <w:r w:rsidRPr="00BA76A0">
        <w:rPr>
          <w:rFonts w:ascii="Times New Roman" w:hAnsi="Times New Roman" w:cs="Times New Roman"/>
          <w:sz w:val="26"/>
          <w:szCs w:val="26"/>
        </w:rPr>
        <w:t xml:space="preserve"> уровню прошлого года. По прежнему,  наибольший удельный вес в объеме отгруженной продукции обрабатывающей отрасли имеют общества  ООО «Партнер», ПК «Шарангский Хлебокомбинат», ИП Бахтин А.А., ООО «Союз», ООО «Поздеево», ООО «Новый век».</w:t>
      </w:r>
    </w:p>
    <w:p w:rsidR="00BD3D9E" w:rsidRPr="00BA76A0" w:rsidRDefault="00BD3D9E" w:rsidP="00FA1AC5">
      <w:pPr>
        <w:spacing w:after="0" w:line="360" w:lineRule="auto"/>
        <w:contextualSpacing/>
        <w:jc w:val="both"/>
        <w:rPr>
          <w:rFonts w:ascii="Times New Roman" w:hAnsi="Times New Roman" w:cs="Times New Roman"/>
          <w:bCs/>
          <w:sz w:val="26"/>
          <w:szCs w:val="26"/>
        </w:rPr>
      </w:pPr>
      <w:r w:rsidRPr="00BA76A0">
        <w:rPr>
          <w:rFonts w:ascii="Times New Roman" w:hAnsi="Times New Roman" w:cs="Times New Roman"/>
          <w:sz w:val="26"/>
          <w:szCs w:val="26"/>
        </w:rPr>
        <w:t xml:space="preserve">Объем инвестиций в 2025 году составил   </w:t>
      </w:r>
      <w:r w:rsidRPr="00BA76A0">
        <w:rPr>
          <w:rFonts w:ascii="Times New Roman" w:hAnsi="Times New Roman" w:cs="Times New Roman"/>
          <w:bCs/>
          <w:sz w:val="26"/>
          <w:szCs w:val="26"/>
        </w:rPr>
        <w:t>592 млн. рублей</w:t>
      </w:r>
      <w:r w:rsidRPr="00BA76A0">
        <w:rPr>
          <w:rFonts w:ascii="Times New Roman" w:hAnsi="Times New Roman" w:cs="Times New Roman"/>
          <w:sz w:val="26"/>
          <w:szCs w:val="26"/>
        </w:rPr>
        <w:t>, что составило 88 %  относительно 2024 года</w:t>
      </w:r>
      <w:r w:rsidRPr="00BA76A0">
        <w:rPr>
          <w:rFonts w:ascii="Times New Roman" w:hAnsi="Times New Roman" w:cs="Times New Roman"/>
          <w:bCs/>
          <w:sz w:val="26"/>
          <w:szCs w:val="26"/>
        </w:rPr>
        <w:t xml:space="preserve">. </w:t>
      </w:r>
    </w:p>
    <w:p w:rsidR="00BD3D9E" w:rsidRPr="00BA76A0" w:rsidRDefault="00BD3D9E" w:rsidP="00FA1AC5">
      <w:pPr>
        <w:spacing w:after="0" w:line="360" w:lineRule="auto"/>
        <w:ind w:firstLine="567"/>
        <w:contextualSpacing/>
        <w:jc w:val="both"/>
        <w:rPr>
          <w:rFonts w:ascii="Times New Roman" w:hAnsi="Times New Roman" w:cs="Times New Roman"/>
          <w:bCs/>
          <w:sz w:val="26"/>
          <w:szCs w:val="26"/>
        </w:rPr>
      </w:pPr>
      <w:r w:rsidRPr="00BA76A0">
        <w:rPr>
          <w:rFonts w:ascii="Times New Roman" w:hAnsi="Times New Roman" w:cs="Times New Roman"/>
          <w:sz w:val="26"/>
          <w:szCs w:val="26"/>
        </w:rPr>
        <w:t>Одним из важнейших показателей уровня жизни населения  остается заработная плата и своевременность ее выплаты. По округу среднемесячная</w:t>
      </w:r>
      <w:r w:rsidR="00A601FB">
        <w:rPr>
          <w:rFonts w:ascii="Times New Roman" w:hAnsi="Times New Roman" w:cs="Times New Roman"/>
          <w:sz w:val="26"/>
          <w:szCs w:val="26"/>
        </w:rPr>
        <w:t xml:space="preserve">  зарплата  за 2025 год</w:t>
      </w:r>
      <w:r w:rsidRPr="00BA76A0">
        <w:rPr>
          <w:rFonts w:ascii="Times New Roman" w:hAnsi="Times New Roman" w:cs="Times New Roman"/>
          <w:sz w:val="26"/>
          <w:szCs w:val="26"/>
        </w:rPr>
        <w:t xml:space="preserve"> сос</w:t>
      </w:r>
      <w:r w:rsidR="00A601FB">
        <w:rPr>
          <w:rFonts w:ascii="Times New Roman" w:hAnsi="Times New Roman" w:cs="Times New Roman"/>
          <w:sz w:val="26"/>
          <w:szCs w:val="26"/>
        </w:rPr>
        <w:t>тавила 50260,28 рублей, что составляет 121</w:t>
      </w:r>
      <w:r w:rsidRPr="00BA76A0">
        <w:rPr>
          <w:rFonts w:ascii="Times New Roman" w:hAnsi="Times New Roman" w:cs="Times New Roman"/>
          <w:sz w:val="26"/>
          <w:szCs w:val="26"/>
        </w:rPr>
        <w:t xml:space="preserve"> % к соответствующему периоду прошлого года.</w:t>
      </w:r>
    </w:p>
    <w:p w:rsidR="00BD3D9E" w:rsidRPr="00BA76A0" w:rsidRDefault="00BD3D9E" w:rsidP="00FA1AC5">
      <w:pPr>
        <w:pStyle w:val="ae"/>
        <w:shd w:val="clear" w:color="auto" w:fill="FFFFFF"/>
        <w:spacing w:before="0" w:beforeAutospacing="0" w:after="0" w:afterAutospacing="0" w:line="360" w:lineRule="auto"/>
        <w:ind w:firstLine="567"/>
        <w:contextualSpacing/>
        <w:jc w:val="both"/>
        <w:textAlignment w:val="baseline"/>
        <w:rPr>
          <w:bCs/>
          <w:sz w:val="26"/>
          <w:szCs w:val="26"/>
        </w:rPr>
      </w:pPr>
      <w:r w:rsidRPr="00BA76A0">
        <w:rPr>
          <w:sz w:val="26"/>
          <w:szCs w:val="26"/>
        </w:rPr>
        <w:t xml:space="preserve">Индикатором благополучия населения является потребительский рынок. По-прежнему  торговля - это одна из самых динамично развивающихся сфер экономики округа. Розничный  товарооборот  в  целом  по округу  по  сравнению  с  2024 годом  увеличился  </w:t>
      </w:r>
      <w:r w:rsidRPr="00BA76A0">
        <w:rPr>
          <w:bCs/>
          <w:sz w:val="26"/>
          <w:szCs w:val="26"/>
        </w:rPr>
        <w:t>на  6 %</w:t>
      </w:r>
      <w:r w:rsidRPr="00BA76A0">
        <w:rPr>
          <w:sz w:val="26"/>
          <w:szCs w:val="26"/>
        </w:rPr>
        <w:t xml:space="preserve"> и составил  </w:t>
      </w:r>
      <w:r w:rsidRPr="00BA76A0">
        <w:rPr>
          <w:bCs/>
          <w:sz w:val="26"/>
          <w:szCs w:val="26"/>
        </w:rPr>
        <w:t xml:space="preserve">два миллиарда  двести млн.  рублей.  </w:t>
      </w:r>
    </w:p>
    <w:p w:rsidR="00BD3D9E" w:rsidRPr="00BA76A0" w:rsidRDefault="00BD3D9E" w:rsidP="00FA1AC5">
      <w:pPr>
        <w:spacing w:after="0" w:line="360" w:lineRule="auto"/>
        <w:ind w:firstLine="709"/>
        <w:contextualSpacing/>
        <w:jc w:val="both"/>
        <w:rPr>
          <w:rFonts w:ascii="Times New Roman" w:hAnsi="Times New Roman" w:cs="Times New Roman"/>
          <w:color w:val="000000" w:themeColor="text1"/>
          <w:sz w:val="26"/>
          <w:szCs w:val="26"/>
        </w:rPr>
      </w:pPr>
      <w:r w:rsidRPr="00BA76A0">
        <w:rPr>
          <w:rFonts w:ascii="Times New Roman" w:hAnsi="Times New Roman" w:cs="Times New Roman"/>
          <w:color w:val="000000" w:themeColor="text1"/>
          <w:sz w:val="26"/>
          <w:szCs w:val="26"/>
        </w:rPr>
        <w:t xml:space="preserve">В общем товарообороте округа </w:t>
      </w:r>
      <w:r w:rsidRPr="00BA76A0">
        <w:rPr>
          <w:rFonts w:ascii="Times New Roman" w:hAnsi="Times New Roman" w:cs="Times New Roman"/>
          <w:bCs/>
          <w:color w:val="000000" w:themeColor="text1"/>
          <w:sz w:val="26"/>
          <w:szCs w:val="26"/>
        </w:rPr>
        <w:t>30%</w:t>
      </w:r>
      <w:r w:rsidRPr="00BA76A0">
        <w:rPr>
          <w:rFonts w:ascii="Times New Roman" w:hAnsi="Times New Roman" w:cs="Times New Roman"/>
          <w:color w:val="000000" w:themeColor="text1"/>
          <w:sz w:val="26"/>
          <w:szCs w:val="26"/>
        </w:rPr>
        <w:t xml:space="preserve"> занимает торговля потребительского общества, оборот которой составляет </w:t>
      </w:r>
      <w:r w:rsidRPr="00BA76A0">
        <w:rPr>
          <w:rFonts w:ascii="Times New Roman" w:hAnsi="Times New Roman" w:cs="Times New Roman"/>
          <w:bCs/>
          <w:color w:val="000000" w:themeColor="text1"/>
          <w:sz w:val="26"/>
          <w:szCs w:val="26"/>
        </w:rPr>
        <w:t xml:space="preserve">558 млн. руб. </w:t>
      </w:r>
      <w:r w:rsidR="002C4B49">
        <w:rPr>
          <w:rFonts w:ascii="Times New Roman" w:hAnsi="Times New Roman" w:cs="Times New Roman"/>
          <w:color w:val="000000" w:themeColor="text1"/>
          <w:sz w:val="26"/>
          <w:szCs w:val="26"/>
        </w:rPr>
        <w:t>Рост</w:t>
      </w:r>
      <w:r w:rsidRPr="00BA76A0">
        <w:rPr>
          <w:rFonts w:ascii="Times New Roman" w:hAnsi="Times New Roman" w:cs="Times New Roman"/>
          <w:color w:val="000000" w:themeColor="text1"/>
          <w:sz w:val="26"/>
          <w:szCs w:val="26"/>
        </w:rPr>
        <w:t xml:space="preserve"> </w:t>
      </w:r>
      <w:r w:rsidRPr="00BA76A0">
        <w:rPr>
          <w:rFonts w:ascii="Times New Roman" w:hAnsi="Times New Roman" w:cs="Times New Roman"/>
          <w:bCs/>
          <w:color w:val="000000" w:themeColor="text1"/>
          <w:sz w:val="26"/>
          <w:szCs w:val="26"/>
        </w:rPr>
        <w:t xml:space="preserve">товарооборота </w:t>
      </w:r>
      <w:r w:rsidRPr="00BA76A0">
        <w:rPr>
          <w:rFonts w:ascii="Times New Roman" w:hAnsi="Times New Roman" w:cs="Times New Roman"/>
          <w:color w:val="000000" w:themeColor="text1"/>
          <w:sz w:val="26"/>
          <w:szCs w:val="26"/>
        </w:rPr>
        <w:t xml:space="preserve">к уровню прошлого года составил 106,8%. </w:t>
      </w:r>
    </w:p>
    <w:p w:rsidR="00BD3D9E" w:rsidRPr="00BA76A0" w:rsidRDefault="00BD3D9E" w:rsidP="00FA1AC5">
      <w:pPr>
        <w:spacing w:after="0" w:line="360" w:lineRule="auto"/>
        <w:ind w:firstLine="708"/>
        <w:contextualSpacing/>
        <w:jc w:val="both"/>
        <w:rPr>
          <w:rFonts w:ascii="Times New Roman" w:hAnsi="Times New Roman" w:cs="Times New Roman"/>
          <w:color w:val="000000"/>
          <w:sz w:val="26"/>
          <w:szCs w:val="26"/>
        </w:rPr>
      </w:pPr>
      <w:r w:rsidRPr="00BA76A0">
        <w:rPr>
          <w:rFonts w:ascii="Times New Roman" w:hAnsi="Times New Roman" w:cs="Times New Roman"/>
          <w:sz w:val="26"/>
          <w:szCs w:val="26"/>
        </w:rPr>
        <w:t xml:space="preserve">На территории округа функционирует  83 торговых точки , 3 аптеки и 1 аптечный пункт, 5 автозаправочных станций, </w:t>
      </w:r>
      <w:r w:rsidRPr="00BA76A0">
        <w:rPr>
          <w:rFonts w:ascii="Times New Roman" w:hAnsi="Times New Roman" w:cs="Times New Roman"/>
          <w:color w:val="000000" w:themeColor="text1"/>
          <w:sz w:val="26"/>
          <w:szCs w:val="26"/>
        </w:rPr>
        <w:t xml:space="preserve">32 объекта бытового обслуживания (11 парикмахерских, 6 объектов по предоставлению косметических услуг, 1 </w:t>
      </w:r>
      <w:r w:rsidRPr="00BA76A0">
        <w:rPr>
          <w:rFonts w:ascii="Times New Roman" w:hAnsi="Times New Roman" w:cs="Times New Roman"/>
          <w:color w:val="000000" w:themeColor="text1"/>
          <w:sz w:val="26"/>
          <w:szCs w:val="26"/>
        </w:rPr>
        <w:lastRenderedPageBreak/>
        <w:t>обувная мастерская, 4 швейных мастерских, 3 автосервиса, 6 объектов по ремонту компьютерной, бытовой техники и телефонов, 1 объект  ритуальных услуг), регулярная еженедельная ярмарка, 6 точек общественного питания.  С мая 2025г предоставляет свои услуги новый нестационарный торговый foodtrack "ЯБСЪЕЛ".</w:t>
      </w:r>
    </w:p>
    <w:p w:rsidR="00BD3D9E" w:rsidRPr="00BA76A0" w:rsidRDefault="00BD3D9E" w:rsidP="00FA1AC5">
      <w:pPr>
        <w:spacing w:after="0" w:line="360" w:lineRule="auto"/>
        <w:ind w:firstLine="708"/>
        <w:contextualSpacing/>
        <w:jc w:val="both"/>
        <w:rPr>
          <w:rFonts w:ascii="Times New Roman" w:hAnsi="Times New Roman" w:cs="Times New Roman"/>
          <w:color w:val="000000"/>
          <w:sz w:val="26"/>
          <w:szCs w:val="26"/>
        </w:rPr>
      </w:pPr>
      <w:r w:rsidRPr="00BA76A0">
        <w:rPr>
          <w:rFonts w:ascii="Times New Roman" w:hAnsi="Times New Roman" w:cs="Times New Roman"/>
          <w:color w:val="000000"/>
          <w:sz w:val="26"/>
          <w:szCs w:val="26"/>
        </w:rPr>
        <w:t>Уровень регистрируемой безработицы по состоянию на 01.01.2026 г.</w:t>
      </w:r>
      <w:r w:rsidRPr="00BA76A0">
        <w:rPr>
          <w:rFonts w:ascii="Times New Roman" w:hAnsi="Times New Roman" w:cs="Times New Roman"/>
          <w:i/>
          <w:color w:val="000000"/>
          <w:sz w:val="26"/>
          <w:szCs w:val="26"/>
        </w:rPr>
        <w:t xml:space="preserve"> </w:t>
      </w:r>
      <w:r w:rsidRPr="00BA76A0">
        <w:rPr>
          <w:rFonts w:ascii="Times New Roman" w:hAnsi="Times New Roman" w:cs="Times New Roman"/>
          <w:color w:val="000000"/>
          <w:sz w:val="26"/>
          <w:szCs w:val="26"/>
        </w:rPr>
        <w:t xml:space="preserve"> составил 0.00 %. Численность безработных граждан, зарегистрированных в органах службы занятости на 01.01.2026 г.</w:t>
      </w:r>
      <w:r w:rsidRPr="00BA76A0">
        <w:rPr>
          <w:rFonts w:ascii="Times New Roman" w:hAnsi="Times New Roman" w:cs="Times New Roman"/>
          <w:i/>
          <w:color w:val="000000"/>
          <w:sz w:val="26"/>
          <w:szCs w:val="26"/>
        </w:rPr>
        <w:t xml:space="preserve"> </w:t>
      </w:r>
      <w:r w:rsidRPr="00BA76A0">
        <w:rPr>
          <w:rFonts w:ascii="Times New Roman" w:hAnsi="Times New Roman" w:cs="Times New Roman"/>
          <w:color w:val="000000"/>
          <w:sz w:val="26"/>
          <w:szCs w:val="26"/>
        </w:rPr>
        <w:t>– 0 человек</w:t>
      </w:r>
      <w:r w:rsidRPr="00BA76A0">
        <w:rPr>
          <w:rFonts w:ascii="Times New Roman" w:hAnsi="Times New Roman" w:cs="Times New Roman"/>
          <w:sz w:val="26"/>
          <w:szCs w:val="26"/>
        </w:rPr>
        <w:t>. В тоже время количество вакансий, заявленных работодателями в органы службы занятости составило 71 вакансия.</w:t>
      </w:r>
    </w:p>
    <w:p w:rsidR="00042EE4" w:rsidRPr="00BA76A0" w:rsidRDefault="00042EE4" w:rsidP="00FA1AC5">
      <w:pPr>
        <w:spacing w:after="0" w:line="360" w:lineRule="auto"/>
        <w:contextualSpacing/>
        <w:jc w:val="both"/>
        <w:rPr>
          <w:rFonts w:ascii="Times New Roman" w:hAnsi="Times New Roman" w:cs="Times New Roman"/>
          <w:color w:val="000000" w:themeColor="text1"/>
          <w:sz w:val="26"/>
          <w:szCs w:val="26"/>
        </w:rPr>
      </w:pPr>
      <w:r w:rsidRPr="00BA76A0">
        <w:rPr>
          <w:rFonts w:ascii="Times New Roman" w:hAnsi="Times New Roman" w:cs="Times New Roman"/>
          <w:sz w:val="26"/>
          <w:szCs w:val="26"/>
        </w:rPr>
        <w:t>Несмотря на экономическую ситуацию и внешнее санкционное давление, количество субъектов малого и среднего предпринимательства Шарангского муниципального округа, имеет тенденцию увеличения с 2</w:t>
      </w:r>
      <w:r w:rsidR="00BD3D9E" w:rsidRPr="00BA76A0">
        <w:rPr>
          <w:rFonts w:ascii="Times New Roman" w:hAnsi="Times New Roman" w:cs="Times New Roman"/>
          <w:sz w:val="26"/>
          <w:szCs w:val="26"/>
        </w:rPr>
        <w:t>76</w:t>
      </w:r>
      <w:r w:rsidRPr="00BA76A0">
        <w:rPr>
          <w:rFonts w:ascii="Times New Roman" w:hAnsi="Times New Roman" w:cs="Times New Roman"/>
          <w:sz w:val="26"/>
          <w:szCs w:val="26"/>
        </w:rPr>
        <w:t xml:space="preserve"> единиц в 202</w:t>
      </w:r>
      <w:r w:rsidR="00BD3D9E" w:rsidRPr="00BA76A0">
        <w:rPr>
          <w:rFonts w:ascii="Times New Roman" w:hAnsi="Times New Roman" w:cs="Times New Roman"/>
          <w:sz w:val="26"/>
          <w:szCs w:val="26"/>
        </w:rPr>
        <w:t xml:space="preserve">4 </w:t>
      </w:r>
      <w:r w:rsidRPr="00BA76A0">
        <w:rPr>
          <w:rFonts w:ascii="Times New Roman" w:hAnsi="Times New Roman" w:cs="Times New Roman"/>
          <w:sz w:val="26"/>
          <w:szCs w:val="26"/>
        </w:rPr>
        <w:t>году до 2</w:t>
      </w:r>
      <w:r w:rsidR="00BD3D9E" w:rsidRPr="00BA76A0">
        <w:rPr>
          <w:rFonts w:ascii="Times New Roman" w:hAnsi="Times New Roman" w:cs="Times New Roman"/>
          <w:sz w:val="26"/>
          <w:szCs w:val="26"/>
        </w:rPr>
        <w:t xml:space="preserve">84 </w:t>
      </w:r>
      <w:r w:rsidRPr="00BA76A0">
        <w:rPr>
          <w:rFonts w:ascii="Times New Roman" w:hAnsi="Times New Roman" w:cs="Times New Roman"/>
          <w:sz w:val="26"/>
          <w:szCs w:val="26"/>
        </w:rPr>
        <w:t>единиц на конец 202</w:t>
      </w:r>
      <w:r w:rsidR="00BD3D9E" w:rsidRPr="00BA76A0">
        <w:rPr>
          <w:rFonts w:ascii="Times New Roman" w:hAnsi="Times New Roman" w:cs="Times New Roman"/>
          <w:sz w:val="26"/>
          <w:szCs w:val="26"/>
        </w:rPr>
        <w:t>5</w:t>
      </w:r>
      <w:r w:rsidRPr="00BA76A0">
        <w:rPr>
          <w:rFonts w:ascii="Times New Roman" w:hAnsi="Times New Roman" w:cs="Times New Roman"/>
          <w:sz w:val="26"/>
          <w:szCs w:val="26"/>
        </w:rPr>
        <w:t xml:space="preserve"> года. </w:t>
      </w:r>
    </w:p>
    <w:p w:rsidR="005D14D1" w:rsidRPr="00BA76A0" w:rsidRDefault="006A1127" w:rsidP="00FA1AC5">
      <w:pPr>
        <w:spacing w:after="0" w:line="360" w:lineRule="auto"/>
        <w:ind w:firstLine="709"/>
        <w:contextualSpacing/>
        <w:jc w:val="both"/>
        <w:rPr>
          <w:rFonts w:ascii="Times New Roman" w:eastAsia="Times New Roman" w:hAnsi="Times New Roman" w:cs="Times New Roman"/>
          <w:sz w:val="26"/>
          <w:szCs w:val="26"/>
        </w:rPr>
      </w:pPr>
      <w:r w:rsidRPr="00BA76A0">
        <w:rPr>
          <w:rFonts w:ascii="Times New Roman" w:hAnsi="Times New Roman" w:cs="Times New Roman"/>
          <w:sz w:val="26"/>
          <w:szCs w:val="26"/>
        </w:rPr>
        <w:t>Протяженность автомобильных дорог общего пользования местного значения с твердым покрытием составила 207,2  км</w:t>
      </w:r>
      <w:r w:rsidRPr="00BA76A0">
        <w:rPr>
          <w:sz w:val="26"/>
          <w:szCs w:val="26"/>
        </w:rPr>
        <w:t>.</w:t>
      </w:r>
      <w:r w:rsidR="005D14D1" w:rsidRPr="00BA76A0">
        <w:rPr>
          <w:sz w:val="26"/>
          <w:szCs w:val="26"/>
        </w:rPr>
        <w:t xml:space="preserve"> </w:t>
      </w:r>
      <w:r w:rsidR="0024717C" w:rsidRPr="00BA76A0">
        <w:rPr>
          <w:rFonts w:ascii="Times New Roman" w:eastAsia="Times New Roman" w:hAnsi="Times New Roman" w:cs="Times New Roman"/>
          <w:sz w:val="26"/>
          <w:szCs w:val="26"/>
        </w:rPr>
        <w:t xml:space="preserve">Протяженность дорог общего пользования местного значения, не отвечающих нормативным требованиям </w:t>
      </w:r>
      <w:r w:rsidR="005D14D1" w:rsidRPr="00BA76A0">
        <w:rPr>
          <w:rFonts w:ascii="Times New Roman" w:eastAsia="Times New Roman" w:hAnsi="Times New Roman" w:cs="Times New Roman"/>
          <w:sz w:val="26"/>
          <w:szCs w:val="26"/>
        </w:rPr>
        <w:t>имеет тенденцию снижения, в 2024</w:t>
      </w:r>
      <w:r w:rsidR="0024717C" w:rsidRPr="00BA76A0">
        <w:rPr>
          <w:rFonts w:ascii="Times New Roman" w:eastAsia="Times New Roman" w:hAnsi="Times New Roman" w:cs="Times New Roman"/>
          <w:sz w:val="26"/>
          <w:szCs w:val="26"/>
        </w:rPr>
        <w:t xml:space="preserve"> году </w:t>
      </w:r>
      <w:r w:rsidR="005D14D1" w:rsidRPr="00BA76A0">
        <w:rPr>
          <w:rFonts w:ascii="Times New Roman" w:eastAsia="Times New Roman" w:hAnsi="Times New Roman" w:cs="Times New Roman"/>
          <w:sz w:val="26"/>
          <w:szCs w:val="26"/>
        </w:rPr>
        <w:t>90,5 км, в 2025</w:t>
      </w:r>
      <w:r w:rsidR="0024717C" w:rsidRPr="00BA76A0">
        <w:rPr>
          <w:rFonts w:ascii="Times New Roman" w:eastAsia="Times New Roman" w:hAnsi="Times New Roman" w:cs="Times New Roman"/>
          <w:sz w:val="26"/>
          <w:szCs w:val="26"/>
        </w:rPr>
        <w:t xml:space="preserve"> году </w:t>
      </w:r>
      <w:r w:rsidR="005D14D1" w:rsidRPr="00BA76A0">
        <w:rPr>
          <w:rFonts w:ascii="Times New Roman" w:eastAsia="Times New Roman" w:hAnsi="Times New Roman" w:cs="Times New Roman"/>
          <w:sz w:val="26"/>
          <w:szCs w:val="26"/>
        </w:rPr>
        <w:t>88,4</w:t>
      </w:r>
      <w:r w:rsidR="0024717C" w:rsidRPr="00BA76A0">
        <w:rPr>
          <w:rFonts w:ascii="Times New Roman" w:eastAsia="Times New Roman" w:hAnsi="Times New Roman" w:cs="Times New Roman"/>
          <w:sz w:val="26"/>
          <w:szCs w:val="26"/>
        </w:rPr>
        <w:t xml:space="preserve"> км. </w:t>
      </w:r>
    </w:p>
    <w:p w:rsidR="00D82C57" w:rsidRPr="00BA76A0" w:rsidRDefault="0024717C" w:rsidP="00FA1AC5">
      <w:pPr>
        <w:shd w:val="clear" w:color="auto" w:fill="FAFAF5"/>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По отрасли «Дорожное хозяйство» в отчетном год</w:t>
      </w:r>
      <w:r w:rsidR="00D82C57" w:rsidRPr="00BA76A0">
        <w:rPr>
          <w:rFonts w:ascii="Times New Roman" w:hAnsi="Times New Roman" w:cs="Times New Roman"/>
          <w:sz w:val="26"/>
          <w:szCs w:val="26"/>
        </w:rPr>
        <w:t>у произведены расходы в сумме 37</w:t>
      </w:r>
      <w:r w:rsidRPr="00BA76A0">
        <w:rPr>
          <w:rFonts w:ascii="Times New Roman" w:hAnsi="Times New Roman" w:cs="Times New Roman"/>
          <w:sz w:val="26"/>
          <w:szCs w:val="26"/>
        </w:rPr>
        <w:t>,3 млн. руб</w:t>
      </w:r>
      <w:r w:rsidRPr="00BA76A0">
        <w:rPr>
          <w:rFonts w:ascii="Times New Roman" w:eastAsia="Times New Roman" w:hAnsi="Times New Roman" w:cs="Times New Roman"/>
          <w:sz w:val="26"/>
          <w:szCs w:val="26"/>
        </w:rPr>
        <w:t>.</w:t>
      </w:r>
      <w:r w:rsidR="00144577" w:rsidRPr="00BA76A0">
        <w:rPr>
          <w:rFonts w:ascii="Times New Roman" w:eastAsia="Times New Roman" w:hAnsi="Times New Roman" w:cs="Times New Roman"/>
          <w:sz w:val="26"/>
          <w:szCs w:val="26"/>
        </w:rPr>
        <w:t xml:space="preserve"> </w:t>
      </w:r>
      <w:r w:rsidR="006A1127" w:rsidRPr="00BA76A0">
        <w:rPr>
          <w:rFonts w:ascii="Times New Roman" w:hAnsi="Times New Roman" w:cs="Times New Roman"/>
          <w:sz w:val="26"/>
          <w:szCs w:val="26"/>
        </w:rPr>
        <w:t>Муниципальные дороги обслуживает МУП ЖКХ.</w:t>
      </w:r>
      <w:r w:rsidR="0020078E" w:rsidRPr="00BA76A0">
        <w:rPr>
          <w:rFonts w:ascii="Times New Roman" w:hAnsi="Times New Roman" w:cs="Times New Roman"/>
          <w:sz w:val="26"/>
          <w:szCs w:val="26"/>
        </w:rPr>
        <w:t> </w:t>
      </w:r>
    </w:p>
    <w:p w:rsidR="00D82C57" w:rsidRPr="00BA76A0" w:rsidRDefault="00D82C57" w:rsidP="00FA1AC5">
      <w:pPr>
        <w:shd w:val="clear" w:color="auto" w:fill="FAFAF5"/>
        <w:spacing w:after="0" w:line="360" w:lineRule="auto"/>
        <w:ind w:firstLine="709"/>
        <w:contextualSpacing/>
        <w:jc w:val="both"/>
        <w:rPr>
          <w:rFonts w:ascii="Times New Roman" w:eastAsia="Times New Roman" w:hAnsi="Times New Roman" w:cs="Times New Roman"/>
          <w:sz w:val="26"/>
          <w:szCs w:val="26"/>
        </w:rPr>
      </w:pPr>
      <w:r w:rsidRPr="00BA76A0">
        <w:rPr>
          <w:rFonts w:ascii="Times New Roman" w:hAnsi="Times New Roman" w:cs="Times New Roman"/>
          <w:sz w:val="26"/>
          <w:szCs w:val="26"/>
        </w:rPr>
        <w:t xml:space="preserve">По программе </w:t>
      </w:r>
      <w:r w:rsidRPr="00BA76A0">
        <w:rPr>
          <w:rFonts w:ascii="Times New Roman" w:hAnsi="Times New Roman" w:cs="Times New Roman"/>
          <w:bCs/>
          <w:sz w:val="26"/>
          <w:szCs w:val="26"/>
        </w:rPr>
        <w:t>«Развитие транспортной инфраструктуры Нижегородской области»</w:t>
      </w:r>
      <w:r w:rsidRPr="00BA76A0">
        <w:rPr>
          <w:rFonts w:ascii="Times New Roman" w:hAnsi="Times New Roman" w:cs="Times New Roman"/>
          <w:sz w:val="26"/>
          <w:szCs w:val="26"/>
        </w:rPr>
        <w:t xml:space="preserve"> в поселке отремонтированы  автомобильные дороги по ул. Березовая, ул. Рогожникова, ул. Первомайская, ул. Садовая, протяженностью 2,1 км. Общей стоимостью 20,5  млн. рублей. </w:t>
      </w:r>
    </w:p>
    <w:p w:rsidR="00D82C57" w:rsidRPr="00BA76A0" w:rsidRDefault="00D82C57" w:rsidP="00FA1AC5">
      <w:pPr>
        <w:shd w:val="clear" w:color="auto" w:fill="FAFAF5"/>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Выполнен ямочный ремонт автомобильных дорог в р.п.Шаранга стоимостью 1,5 млн. рублей.</w:t>
      </w:r>
    </w:p>
    <w:p w:rsidR="004F3E3C" w:rsidRPr="00BA76A0" w:rsidRDefault="002B1E28" w:rsidP="00FA1AC5">
      <w:pPr>
        <w:spacing w:after="0" w:line="360" w:lineRule="auto"/>
        <w:ind w:firstLine="709"/>
        <w:contextualSpacing/>
        <w:jc w:val="both"/>
        <w:rPr>
          <w:rFonts w:ascii="Times New Roman" w:eastAsia="Gungsuh" w:hAnsi="Times New Roman" w:cs="Times New Roman"/>
          <w:sz w:val="26"/>
          <w:szCs w:val="26"/>
        </w:rPr>
      </w:pPr>
      <w:r w:rsidRPr="00BA76A0">
        <w:rPr>
          <w:rFonts w:ascii="Times New Roman" w:eastAsia="Gungsuh" w:hAnsi="Times New Roman" w:cs="Times New Roman"/>
          <w:sz w:val="26"/>
          <w:szCs w:val="26"/>
        </w:rPr>
        <w:t xml:space="preserve">В агропромышленном секторе  Шарангского муниципального округа осуществляют деятельность </w:t>
      </w:r>
      <w:r w:rsidR="00122888" w:rsidRPr="00BA76A0">
        <w:rPr>
          <w:rFonts w:ascii="Times New Roman" w:eastAsia="Gungsuh" w:hAnsi="Times New Roman" w:cs="Times New Roman"/>
          <w:sz w:val="26"/>
          <w:szCs w:val="26"/>
        </w:rPr>
        <w:t>4</w:t>
      </w:r>
      <w:r w:rsidRPr="00BA76A0">
        <w:rPr>
          <w:rFonts w:ascii="Times New Roman" w:eastAsia="Gungsuh" w:hAnsi="Times New Roman" w:cs="Times New Roman"/>
          <w:sz w:val="26"/>
          <w:szCs w:val="26"/>
        </w:rPr>
        <w:t xml:space="preserve"> сельскохозяйственных предприятий, все они   относятся к числу прибыльных, 21 фермерское хозяйство, около 4 тысяч личных подсобных хозяйств,  предприятие переработки молока – АО «Маслодел», переработки льнотресты ООО «Льноизол» и два  сельскохозяйственных потребительских кооператива «Благодать» и «Шарангский лён». </w:t>
      </w:r>
    </w:p>
    <w:p w:rsidR="00F96C71" w:rsidRPr="00BA76A0" w:rsidRDefault="00F96C71" w:rsidP="00FA1AC5">
      <w:pPr>
        <w:spacing w:after="0" w:line="360" w:lineRule="auto"/>
        <w:ind w:firstLine="709"/>
        <w:contextualSpacing/>
        <w:jc w:val="both"/>
        <w:rPr>
          <w:rFonts w:ascii="Times New Roman" w:eastAsia="Gungsuh" w:hAnsi="Times New Roman" w:cs="Times New Roman"/>
          <w:sz w:val="26"/>
          <w:szCs w:val="26"/>
        </w:rPr>
      </w:pPr>
      <w:r w:rsidRPr="00BA76A0">
        <w:rPr>
          <w:rFonts w:ascii="Times New Roman" w:eastAsia="Gungsuh" w:hAnsi="Times New Roman" w:cs="Times New Roman"/>
          <w:sz w:val="26"/>
          <w:szCs w:val="26"/>
        </w:rPr>
        <w:t xml:space="preserve">Традиционные направления   в отрасли АПК округа  – это животноводство, основными видами деятельности  которого  является производство молока и мяса,  </w:t>
      </w:r>
      <w:r w:rsidRPr="00BA76A0">
        <w:rPr>
          <w:rFonts w:ascii="Times New Roman" w:eastAsia="Gungsuh" w:hAnsi="Times New Roman" w:cs="Times New Roman"/>
          <w:sz w:val="26"/>
          <w:szCs w:val="26"/>
        </w:rPr>
        <w:lastRenderedPageBreak/>
        <w:t>разведение крупного рогатого скота, а также  растениеводство - со специализацией на выращивании зерновых, кормовых культур и льна-долгунца.</w:t>
      </w:r>
    </w:p>
    <w:p w:rsidR="00521949" w:rsidRPr="00BA76A0" w:rsidRDefault="00521949" w:rsidP="00FA1AC5">
      <w:pPr>
        <w:spacing w:after="0" w:line="360" w:lineRule="auto"/>
        <w:ind w:firstLine="709"/>
        <w:contextualSpacing/>
        <w:jc w:val="both"/>
        <w:rPr>
          <w:rFonts w:ascii="Times New Roman" w:hAnsi="Times New Roman" w:cs="Times New Roman"/>
          <w:sz w:val="26"/>
          <w:szCs w:val="26"/>
        </w:rPr>
      </w:pPr>
      <w:r w:rsidRPr="00BA76A0">
        <w:rPr>
          <w:rFonts w:ascii="Times New Roman" w:eastAsia="Times New Roman" w:hAnsi="Times New Roman" w:cs="Times New Roman"/>
          <w:sz w:val="26"/>
          <w:szCs w:val="26"/>
          <w:lang w:eastAsia="ru-RU"/>
        </w:rPr>
        <w:t xml:space="preserve">Среднегодовая численность работающих в общественном секторе АПК Шарангского округа - 170 человек. </w:t>
      </w:r>
      <w:r w:rsidRPr="00BA76A0">
        <w:rPr>
          <w:rFonts w:ascii="Times New Roman" w:hAnsi="Times New Roman" w:cs="Times New Roman"/>
          <w:sz w:val="26"/>
          <w:szCs w:val="26"/>
        </w:rPr>
        <w:t>Средний уровень  заработной  платы в сельхозпредприятиях составляет – 49000 рублей (в 2024 году -43100  рублей).</w:t>
      </w:r>
    </w:p>
    <w:p w:rsidR="00521949" w:rsidRPr="00BA76A0" w:rsidRDefault="00521949" w:rsidP="00FA1AC5">
      <w:pPr>
        <w:spacing w:after="0" w:line="360" w:lineRule="auto"/>
        <w:ind w:firstLine="709"/>
        <w:contextualSpacing/>
        <w:jc w:val="both"/>
        <w:rPr>
          <w:rFonts w:ascii="Times New Roman" w:hAnsi="Times New Roman" w:cs="Times New Roman"/>
          <w:sz w:val="26"/>
          <w:szCs w:val="26"/>
          <w:shd w:val="clear" w:color="auto" w:fill="FFFFFF"/>
        </w:rPr>
      </w:pPr>
      <w:r w:rsidRPr="00BA76A0">
        <w:rPr>
          <w:rFonts w:ascii="Times New Roman" w:hAnsi="Times New Roman" w:cs="Times New Roman"/>
          <w:color w:val="333333"/>
          <w:sz w:val="26"/>
          <w:szCs w:val="26"/>
        </w:rPr>
        <w:t>По итогам отчетного года все хозяйства округа сработали с прибылью</w:t>
      </w:r>
      <w:r w:rsidRPr="00BA76A0">
        <w:rPr>
          <w:rFonts w:ascii="Times New Roman" w:hAnsi="Times New Roman" w:cs="Times New Roman"/>
          <w:sz w:val="26"/>
          <w:szCs w:val="26"/>
        </w:rPr>
        <w:t>. Прибыль до налогообложения за 2024 год в с</w:t>
      </w:r>
      <w:r w:rsidR="00E71C2E">
        <w:rPr>
          <w:rFonts w:ascii="Times New Roman" w:hAnsi="Times New Roman" w:cs="Times New Roman"/>
          <w:sz w:val="26"/>
          <w:szCs w:val="26"/>
        </w:rPr>
        <w:t>ельскохозяйственных предприятиях составила 128, 0 </w:t>
      </w:r>
      <w:r w:rsidRPr="00BA76A0">
        <w:rPr>
          <w:rFonts w:ascii="Times New Roman" w:hAnsi="Times New Roman" w:cs="Times New Roman"/>
          <w:sz w:val="26"/>
          <w:szCs w:val="26"/>
        </w:rPr>
        <w:t>млн.</w:t>
      </w:r>
      <w:r w:rsidR="00E71C2E">
        <w:rPr>
          <w:rFonts w:ascii="Times New Roman" w:hAnsi="Times New Roman" w:cs="Times New Roman"/>
          <w:sz w:val="26"/>
          <w:szCs w:val="26"/>
        </w:rPr>
        <w:t> руб., (рост 102%). За  </w:t>
      </w:r>
      <w:r w:rsidRPr="00BA76A0">
        <w:rPr>
          <w:rFonts w:ascii="Times New Roman" w:hAnsi="Times New Roman" w:cs="Times New Roman"/>
          <w:sz w:val="26"/>
          <w:szCs w:val="26"/>
        </w:rPr>
        <w:t xml:space="preserve">2025 год выручка в сельскохозяйственных предприятиях составила 562 млн. рублей, что на 27% выше уровня 2024 года (442млн.руб.). </w:t>
      </w:r>
      <w:r w:rsidRPr="00BA76A0">
        <w:rPr>
          <w:rFonts w:ascii="Times New Roman" w:hAnsi="Times New Roman" w:cs="Times New Roman"/>
          <w:sz w:val="26"/>
          <w:szCs w:val="26"/>
          <w:shd w:val="clear" w:color="auto" w:fill="FFFFFF"/>
        </w:rPr>
        <w:t xml:space="preserve">В 2025 году общая сумма полученных субсидий составила порядка 95 млн.руб. (2024 год 173 млн. руб.). </w:t>
      </w:r>
    </w:p>
    <w:p w:rsidR="00327417" w:rsidRPr="00E71C2E" w:rsidRDefault="00327417" w:rsidP="00FA1AC5">
      <w:pPr>
        <w:pStyle w:val="ae"/>
        <w:shd w:val="clear" w:color="auto" w:fill="FFFFFF"/>
        <w:spacing w:before="0" w:beforeAutospacing="0" w:line="360" w:lineRule="auto"/>
        <w:ind w:firstLine="709"/>
        <w:contextualSpacing/>
        <w:jc w:val="both"/>
        <w:rPr>
          <w:sz w:val="26"/>
          <w:szCs w:val="26"/>
        </w:rPr>
      </w:pPr>
      <w:r w:rsidRPr="00E71C2E">
        <w:rPr>
          <w:sz w:val="26"/>
          <w:szCs w:val="26"/>
        </w:rPr>
        <w:t>Одним из ключевых элементов развития агропромышленного комплекса является техническое перевооружение сельскохозяйственного производства. Продолжается  обновление сельхозтехники и оборудования, общая сумма приобретенной техники составила около 85 миллионов рублей.</w:t>
      </w:r>
    </w:p>
    <w:p w:rsidR="00327417" w:rsidRPr="00E71C2E" w:rsidRDefault="00327417" w:rsidP="00FA1AC5">
      <w:pPr>
        <w:pStyle w:val="ae"/>
        <w:shd w:val="clear" w:color="auto" w:fill="FFFFFF"/>
        <w:spacing w:before="0" w:beforeAutospacing="0" w:line="360" w:lineRule="auto"/>
        <w:ind w:firstLine="709"/>
        <w:contextualSpacing/>
        <w:jc w:val="both"/>
        <w:rPr>
          <w:sz w:val="26"/>
          <w:szCs w:val="26"/>
        </w:rPr>
      </w:pPr>
      <w:r w:rsidRPr="00E71C2E">
        <w:rPr>
          <w:sz w:val="26"/>
          <w:szCs w:val="26"/>
        </w:rPr>
        <w:t>Также основным фактором развития сельскохозяйственных предприятий всех форм собственности является животноводство.</w:t>
      </w:r>
      <w:r w:rsidR="00611291" w:rsidRPr="00E71C2E">
        <w:rPr>
          <w:sz w:val="26"/>
          <w:szCs w:val="26"/>
        </w:rPr>
        <w:t> </w:t>
      </w:r>
      <w:r w:rsidRPr="00E71C2E">
        <w:rPr>
          <w:sz w:val="26"/>
          <w:szCs w:val="26"/>
        </w:rPr>
        <w:t>Поголовье крупного рогатого скота на 1 января 2026 года составляет – 7257 голов. В том числе коров – 3127  голов. По итогам года произведено молока во всех категориях хозяйств округа – 10 008 тонн, это 121 % к уровню прошлого года. Средний надой на одну молочную корову по округу составил 6659 кг, или 109 % к уровню прошлого года.</w:t>
      </w:r>
      <w:r w:rsidR="00611291" w:rsidRPr="00E71C2E">
        <w:rPr>
          <w:sz w:val="26"/>
          <w:szCs w:val="26"/>
        </w:rPr>
        <w:t> </w:t>
      </w:r>
      <w:r w:rsidRPr="00E71C2E">
        <w:rPr>
          <w:sz w:val="26"/>
          <w:szCs w:val="26"/>
        </w:rPr>
        <w:t>Всего  сельскохозяйственными организациями района реализовано молока в физическом весе 9104 тонны, 127 % к уровню прошлого года.</w:t>
      </w:r>
    </w:p>
    <w:p w:rsidR="00327417" w:rsidRPr="00E71C2E" w:rsidRDefault="00327417" w:rsidP="00FA1AC5">
      <w:pPr>
        <w:pStyle w:val="ae"/>
        <w:shd w:val="clear" w:color="auto" w:fill="FFFFFF"/>
        <w:spacing w:before="0" w:beforeAutospacing="0" w:after="0" w:afterAutospacing="0" w:line="360" w:lineRule="auto"/>
        <w:ind w:firstLine="709"/>
        <w:contextualSpacing/>
        <w:jc w:val="both"/>
        <w:rPr>
          <w:sz w:val="26"/>
          <w:szCs w:val="26"/>
        </w:rPr>
      </w:pPr>
      <w:r w:rsidRPr="00E71C2E">
        <w:rPr>
          <w:sz w:val="26"/>
          <w:szCs w:val="26"/>
        </w:rPr>
        <w:t>Залогом успешного развития отрасли животноводства является привлечение инвесторов, проведение мероприятий, стимулирующих увеличение роста поголовья скота как в сельскохозяйственных организациях, так и в индивидуальном секторе, и помощь в организации сбыта произведенной продукции.</w:t>
      </w:r>
    </w:p>
    <w:p w:rsidR="00327417" w:rsidRPr="00E71C2E" w:rsidRDefault="00327417" w:rsidP="00FA1AC5">
      <w:pPr>
        <w:pStyle w:val="ae"/>
        <w:shd w:val="clear" w:color="auto" w:fill="FFFFFF"/>
        <w:spacing w:before="0" w:beforeAutospacing="0" w:after="0" w:afterAutospacing="0" w:line="360" w:lineRule="auto"/>
        <w:ind w:firstLine="709"/>
        <w:contextualSpacing/>
        <w:jc w:val="both"/>
        <w:rPr>
          <w:sz w:val="26"/>
          <w:szCs w:val="26"/>
        </w:rPr>
      </w:pPr>
      <w:r w:rsidRPr="00E71C2E">
        <w:rPr>
          <w:sz w:val="26"/>
          <w:szCs w:val="26"/>
        </w:rPr>
        <w:t>Весомым инвестиционным  проектом в животноводстве округа являются строительство животноводческого комплекса ООО Новый век, второго корпуса роботизированной фермы в фермерском хозяйстве Бахтиной Е.М.</w:t>
      </w:r>
    </w:p>
    <w:p w:rsidR="00327417" w:rsidRPr="00E71C2E" w:rsidRDefault="00327417" w:rsidP="00FA1AC5">
      <w:pPr>
        <w:pStyle w:val="ae"/>
        <w:shd w:val="clear" w:color="auto" w:fill="FFFFFF"/>
        <w:spacing w:before="0" w:beforeAutospacing="0" w:after="0" w:afterAutospacing="0" w:line="360" w:lineRule="auto"/>
        <w:ind w:firstLine="709"/>
        <w:contextualSpacing/>
        <w:jc w:val="both"/>
        <w:rPr>
          <w:sz w:val="26"/>
          <w:szCs w:val="26"/>
        </w:rPr>
      </w:pPr>
      <w:r w:rsidRPr="00E71C2E">
        <w:rPr>
          <w:sz w:val="26"/>
          <w:szCs w:val="26"/>
        </w:rPr>
        <w:lastRenderedPageBreak/>
        <w:t>Кроме того введены   в эксплуатацию  телятник для новорожденных в ООО АПК Поздеево и телятник для откорма в ООО Новый век.</w:t>
      </w:r>
    </w:p>
    <w:p w:rsidR="00327417" w:rsidRPr="00BA76A0" w:rsidRDefault="00327417"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В Госветуправление Шарангского муниципального округа всего работает 27 человек, из них ветеринарных специалистов 14 человек. Средняя заработная плата составила 42 тыс. рублей (2024г-38 тыс.</w:t>
      </w:r>
      <w:r w:rsidR="00E71C2E">
        <w:rPr>
          <w:rFonts w:ascii="Times New Roman" w:hAnsi="Times New Roman" w:cs="Times New Roman"/>
          <w:sz w:val="26"/>
          <w:szCs w:val="26"/>
        </w:rPr>
        <w:t> </w:t>
      </w:r>
      <w:r w:rsidRPr="00BA76A0">
        <w:rPr>
          <w:rFonts w:ascii="Times New Roman" w:hAnsi="Times New Roman" w:cs="Times New Roman"/>
          <w:sz w:val="26"/>
          <w:szCs w:val="26"/>
        </w:rPr>
        <w:t xml:space="preserve">рублей). </w:t>
      </w:r>
    </w:p>
    <w:p w:rsidR="00FD3B71" w:rsidRPr="00BA76A0" w:rsidRDefault="00C4495F" w:rsidP="00BA76A0">
      <w:pPr>
        <w:spacing w:after="0" w:line="360" w:lineRule="auto"/>
        <w:contextualSpacing/>
        <w:jc w:val="center"/>
        <w:rPr>
          <w:rFonts w:ascii="Times New Roman" w:eastAsia="Calibri" w:hAnsi="Times New Roman" w:cs="Times New Roman"/>
          <w:b/>
          <w:sz w:val="26"/>
          <w:szCs w:val="26"/>
        </w:rPr>
      </w:pPr>
      <w:r w:rsidRPr="00BA76A0">
        <w:rPr>
          <w:rFonts w:ascii="Times New Roman" w:hAnsi="Times New Roman"/>
          <w:b/>
          <w:sz w:val="26"/>
          <w:szCs w:val="26"/>
          <w:lang w:val="en-US"/>
        </w:rPr>
        <w:t>III</w:t>
      </w:r>
      <w:r w:rsidRPr="00BA76A0">
        <w:rPr>
          <w:rFonts w:ascii="Times New Roman" w:hAnsi="Times New Roman"/>
          <w:b/>
          <w:sz w:val="26"/>
          <w:szCs w:val="26"/>
        </w:rPr>
        <w:t>.</w:t>
      </w:r>
      <w:r w:rsidR="00FD3B71" w:rsidRPr="00BA76A0">
        <w:rPr>
          <w:rFonts w:ascii="Times New Roman" w:eastAsia="Calibri" w:hAnsi="Times New Roman" w:cs="Times New Roman"/>
          <w:b/>
          <w:sz w:val="26"/>
          <w:szCs w:val="26"/>
        </w:rPr>
        <w:t>Дошкольное образование</w:t>
      </w:r>
    </w:p>
    <w:p w:rsidR="009961D8" w:rsidRPr="00BA76A0" w:rsidRDefault="001C71FF" w:rsidP="00BA76A0">
      <w:pPr>
        <w:pStyle w:val="a4"/>
        <w:spacing w:line="360" w:lineRule="auto"/>
        <w:ind w:firstLine="708"/>
        <w:contextualSpacing/>
        <w:jc w:val="both"/>
        <w:rPr>
          <w:sz w:val="26"/>
          <w:szCs w:val="26"/>
        </w:rPr>
      </w:pPr>
      <w:r w:rsidRPr="00BA76A0">
        <w:rPr>
          <w:sz w:val="26"/>
          <w:szCs w:val="26"/>
        </w:rPr>
        <w:t xml:space="preserve">Система дошкольного образования Шарангского муниципального округа представлена 14 организациями. Численность детей, посещающих дошкольные образовательные организации Шарангского округа </w:t>
      </w:r>
      <w:r w:rsidR="00E71BC3" w:rsidRPr="00BA76A0">
        <w:rPr>
          <w:sz w:val="26"/>
          <w:szCs w:val="26"/>
        </w:rPr>
        <w:t xml:space="preserve">417 </w:t>
      </w:r>
      <w:r w:rsidRPr="00BA76A0">
        <w:rPr>
          <w:sz w:val="26"/>
          <w:szCs w:val="26"/>
        </w:rPr>
        <w:t xml:space="preserve">детей. Доступность дошкольного образования для детей в возрасте от 3-7 лет в Шарангском округе обеспечена на 100%. </w:t>
      </w:r>
      <w:r w:rsidR="00F67C22" w:rsidRPr="00BA76A0">
        <w:rPr>
          <w:sz w:val="26"/>
          <w:szCs w:val="26"/>
        </w:rPr>
        <w:t>Доля детей в возрасте 1-6 лет, получающих дошкольную образовательную услугу по содержанию в образовательных муниципальных учреждениях за 202</w:t>
      </w:r>
      <w:r w:rsidR="00E71BC3" w:rsidRPr="00BA76A0">
        <w:rPr>
          <w:sz w:val="26"/>
          <w:szCs w:val="26"/>
        </w:rPr>
        <w:t>5</w:t>
      </w:r>
      <w:r w:rsidR="00F67C22" w:rsidRPr="00BA76A0">
        <w:rPr>
          <w:sz w:val="26"/>
          <w:szCs w:val="26"/>
        </w:rPr>
        <w:t xml:space="preserve"> год составила-</w:t>
      </w:r>
      <w:r w:rsidR="0020078E" w:rsidRPr="00BA76A0">
        <w:rPr>
          <w:sz w:val="26"/>
          <w:szCs w:val="26"/>
        </w:rPr>
        <w:t>5</w:t>
      </w:r>
      <w:r w:rsidR="00E71BC3" w:rsidRPr="00BA76A0">
        <w:rPr>
          <w:sz w:val="26"/>
          <w:szCs w:val="26"/>
        </w:rPr>
        <w:t>3,53</w:t>
      </w:r>
      <w:r w:rsidR="00F67C22" w:rsidRPr="00BA76A0">
        <w:rPr>
          <w:sz w:val="26"/>
          <w:szCs w:val="26"/>
          <w:lang w:val="en-US"/>
        </w:rPr>
        <w:t> </w:t>
      </w:r>
      <w:r w:rsidR="00F67C22" w:rsidRPr="00BA76A0">
        <w:rPr>
          <w:sz w:val="26"/>
          <w:szCs w:val="26"/>
        </w:rPr>
        <w:t>%, на последующие годы прослеживается тенденция роста.</w:t>
      </w:r>
      <w:r w:rsidR="00E71BC3" w:rsidRPr="00BA76A0">
        <w:rPr>
          <w:sz w:val="26"/>
          <w:szCs w:val="26"/>
        </w:rPr>
        <w:t xml:space="preserve"> </w:t>
      </w:r>
      <w:r w:rsidR="009961D8" w:rsidRPr="00BA76A0">
        <w:rPr>
          <w:sz w:val="26"/>
          <w:szCs w:val="26"/>
        </w:rPr>
        <w:t>Доступность дошкольного образования для детей в возрасте от 3-7 лет в Шарангском округе обеспечена на 100%. Очерёдность в дошкольные образовательные организации отсутствует.</w:t>
      </w:r>
    </w:p>
    <w:p w:rsidR="00CA735A" w:rsidRPr="00BA76A0" w:rsidRDefault="00CA735A" w:rsidP="00FA1AC5">
      <w:pPr>
        <w:pStyle w:val="a4"/>
        <w:spacing w:line="360" w:lineRule="auto"/>
        <w:ind w:firstLine="708"/>
        <w:contextualSpacing/>
        <w:jc w:val="both"/>
        <w:rPr>
          <w:color w:val="000000" w:themeColor="text1"/>
          <w:sz w:val="26"/>
          <w:szCs w:val="26"/>
        </w:rPr>
      </w:pPr>
      <w:r w:rsidRPr="00BA76A0">
        <w:rPr>
          <w:color w:val="000000" w:themeColor="text1"/>
          <w:sz w:val="26"/>
          <w:szCs w:val="26"/>
        </w:rPr>
        <w:t xml:space="preserve">Целью социальной политики в области дошкольного образования является реализация права каждого ребенка на качественное и доступное образование. </w:t>
      </w:r>
    </w:p>
    <w:p w:rsidR="0025311B" w:rsidRPr="00BA76A0" w:rsidRDefault="00C4495F" w:rsidP="00200B4B">
      <w:pPr>
        <w:pStyle w:val="a3"/>
        <w:spacing w:after="0" w:line="360" w:lineRule="auto"/>
        <w:ind w:left="0" w:firstLine="567"/>
        <w:jc w:val="center"/>
        <w:rPr>
          <w:rFonts w:ascii="Times New Roman" w:hAnsi="Times New Roman"/>
          <w:b/>
          <w:sz w:val="26"/>
          <w:szCs w:val="26"/>
        </w:rPr>
      </w:pPr>
      <w:r w:rsidRPr="00BA76A0">
        <w:rPr>
          <w:rFonts w:ascii="Times New Roman" w:hAnsi="Times New Roman"/>
          <w:b/>
          <w:sz w:val="26"/>
          <w:szCs w:val="26"/>
          <w:lang w:val="en-US"/>
        </w:rPr>
        <w:t>IV</w:t>
      </w:r>
      <w:r w:rsidRPr="00BA76A0">
        <w:rPr>
          <w:rFonts w:ascii="Times New Roman" w:hAnsi="Times New Roman"/>
          <w:b/>
          <w:sz w:val="26"/>
          <w:szCs w:val="26"/>
        </w:rPr>
        <w:t>.</w:t>
      </w:r>
      <w:r w:rsidR="0025311B" w:rsidRPr="00BA76A0">
        <w:rPr>
          <w:rFonts w:ascii="Times New Roman" w:hAnsi="Times New Roman"/>
          <w:b/>
          <w:sz w:val="26"/>
          <w:szCs w:val="26"/>
        </w:rPr>
        <w:t>Общее и дополнительное образование</w:t>
      </w:r>
    </w:p>
    <w:p w:rsidR="00200B4B" w:rsidRPr="00BA76A0" w:rsidRDefault="00200B4B" w:rsidP="00E71C2E">
      <w:pPr>
        <w:pBdr>
          <w:bottom w:val="single" w:sz="12" w:space="1" w:color="000000"/>
        </w:pBdr>
        <w:spacing w:after="0" w:line="360" w:lineRule="auto"/>
        <w:ind w:firstLine="567"/>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t>Система общего образования представлена сетью общеобразовательных организаций, состоящей из: 2 средних и 6 основных школ.</w:t>
      </w:r>
    </w:p>
    <w:p w:rsidR="00200B4B" w:rsidRPr="00BA76A0" w:rsidRDefault="00200B4B" w:rsidP="00200B4B">
      <w:pPr>
        <w:pBdr>
          <w:bottom w:val="single" w:sz="12" w:space="1" w:color="000000"/>
        </w:pBdr>
        <w:spacing w:after="0" w:line="360" w:lineRule="auto"/>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t>В прошедшем учебном году колич</w:t>
      </w:r>
      <w:r w:rsidR="00DC4D9A">
        <w:rPr>
          <w:rFonts w:ascii="Times New Roman" w:eastAsia="Times New Roman" w:hAnsi="Times New Roman" w:cs="Times New Roman"/>
          <w:color w:val="000000"/>
          <w:sz w:val="26"/>
          <w:szCs w:val="26"/>
        </w:rPr>
        <w:t xml:space="preserve">ество обучающихся на 01.09.2025 г.составило 1214 ребёнка. </w:t>
      </w:r>
      <w:r w:rsidRPr="00BA76A0">
        <w:rPr>
          <w:rFonts w:ascii="Times New Roman" w:eastAsia="Times New Roman" w:hAnsi="Times New Roman" w:cs="Times New Roman"/>
          <w:color w:val="000000"/>
          <w:sz w:val="26"/>
          <w:szCs w:val="26"/>
        </w:rPr>
        <w:t>Успеваемость составила 99,91%. Качество знаний 47,35 %. Ежегодно педагоги и руководители образовательных организаций проходят процедуру аттестации. Общая доля аттестованных педагогических работников составляет 91% (2024-88%). Имеющих высшую квалификационную категорию- 39% (2024-33%).</w:t>
      </w:r>
    </w:p>
    <w:p w:rsidR="00784B6C" w:rsidRPr="00BA76A0" w:rsidRDefault="00784B6C" w:rsidP="00FA1AC5">
      <w:pPr>
        <w:pBdr>
          <w:bottom w:val="single" w:sz="12" w:space="1" w:color="000000"/>
        </w:pBdr>
        <w:spacing w:after="0" w:line="360" w:lineRule="auto"/>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t xml:space="preserve">По итогам экзаменов все  выпускники 9 классов получили аттестат об  основном общем образовании, из них с отличием 10 (2024-6чел.) обучающихся. По данным мониторинга результатов государственной итоговой аттестации в 11 классе все ученики получили аттестаты. Пять выпускников Шарангской СШ удостоены медалями «За особые успехи в учении»  I степени и пять выпускника Шарангской СШ удостоены медалями «За особые успехи в учении» II степени. </w:t>
      </w:r>
    </w:p>
    <w:p w:rsidR="00784B6C" w:rsidRPr="00BA76A0" w:rsidRDefault="00784B6C" w:rsidP="00784B6C">
      <w:pPr>
        <w:spacing w:after="0" w:line="360" w:lineRule="auto"/>
        <w:ind w:firstLine="709"/>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lastRenderedPageBreak/>
        <w:t>Дополнительное образование детей представлено 2-мя организациями: Шарангский Дом детского творчества, МБУ ДО ДЮЦ. В 2024 – 2025 учебном году дополнительным образованием были заняты 1590 детей. Целевой показатель выполнен на 81%.</w:t>
      </w:r>
    </w:p>
    <w:p w:rsidR="00784B6C" w:rsidRPr="00BA76A0" w:rsidRDefault="00784B6C" w:rsidP="00784B6C">
      <w:pPr>
        <w:spacing w:after="0" w:line="360" w:lineRule="auto"/>
        <w:ind w:firstLine="709"/>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t>Шарангский Дом детского творчества - это многопрофильное учреждение дополнительного образования детей, где 658 детей в возрасте от 6 до 18 лет занимаются по 19 образовательным программам 6 направленностей.</w:t>
      </w:r>
    </w:p>
    <w:p w:rsidR="00784B6C" w:rsidRPr="00BA76A0" w:rsidRDefault="00784B6C" w:rsidP="00784B6C">
      <w:pPr>
        <w:spacing w:after="0" w:line="360" w:lineRule="auto"/>
        <w:ind w:firstLine="709"/>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t>МБУ ДО ДЮЦ в 2024-2025 учебном году реализовывались дополнительные общеразвивающие программы по 6 видам спорта. В прошлом учебном году были скомплектованы 20 учебных групп, охват обучающихся составил 229 человек от 4 до 18 лет.</w:t>
      </w:r>
    </w:p>
    <w:p w:rsidR="00111D12" w:rsidRPr="00BA76A0" w:rsidRDefault="00784B6C" w:rsidP="00784B6C">
      <w:pPr>
        <w:spacing w:after="0" w:line="360" w:lineRule="auto"/>
        <w:ind w:firstLine="709"/>
        <w:contextualSpacing/>
        <w:jc w:val="both"/>
        <w:rPr>
          <w:rFonts w:ascii="Times New Roman" w:hAnsi="Times New Roman" w:cs="Times New Roman"/>
          <w:sz w:val="26"/>
          <w:szCs w:val="26"/>
        </w:rPr>
      </w:pPr>
      <w:r w:rsidRPr="00BA76A0">
        <w:rPr>
          <w:rFonts w:ascii="Times New Roman" w:eastAsia="Times New Roman" w:hAnsi="Times New Roman" w:cs="Times New Roman"/>
          <w:color w:val="000000"/>
          <w:sz w:val="26"/>
          <w:szCs w:val="26"/>
        </w:rPr>
        <w:t>В сфере образования было реализовано два национальных проекта « Молодежь и дети» и «Беспилотные авиационные системы». Общее финансирование составило более 21 млн. рублей.</w:t>
      </w:r>
    </w:p>
    <w:p w:rsidR="00111D12" w:rsidRPr="00BA76A0" w:rsidRDefault="00111D12" w:rsidP="00111D12">
      <w:pPr>
        <w:spacing w:after="0" w:line="360" w:lineRule="auto"/>
        <w:contextualSpacing/>
        <w:jc w:val="center"/>
        <w:rPr>
          <w:rFonts w:ascii="Times New Roman" w:hAnsi="Times New Roman" w:cs="Times New Roman"/>
          <w:b/>
          <w:sz w:val="26"/>
          <w:szCs w:val="26"/>
        </w:rPr>
      </w:pPr>
      <w:r w:rsidRPr="00BA76A0">
        <w:rPr>
          <w:rFonts w:ascii="Times New Roman" w:hAnsi="Times New Roman" w:cs="Times New Roman"/>
          <w:b/>
          <w:sz w:val="26"/>
          <w:szCs w:val="26"/>
        </w:rPr>
        <w:t>V.Культура</w:t>
      </w:r>
    </w:p>
    <w:p w:rsidR="00DF0854" w:rsidRPr="00BA76A0" w:rsidRDefault="00DF0854" w:rsidP="00FA1AC5">
      <w:pPr>
        <w:spacing w:after="0" w:line="360" w:lineRule="auto"/>
        <w:ind w:firstLine="709"/>
        <w:contextualSpacing/>
        <w:jc w:val="both"/>
        <w:rPr>
          <w:rFonts w:ascii="Times New Roman" w:eastAsia="Times New Roman" w:hAnsi="Times New Roman" w:cs="Times New Roman"/>
          <w:sz w:val="26"/>
          <w:szCs w:val="26"/>
        </w:rPr>
      </w:pPr>
      <w:r w:rsidRPr="00BA76A0">
        <w:rPr>
          <w:rFonts w:ascii="Times New Roman" w:hAnsi="Times New Roman" w:cs="Times New Roman"/>
          <w:sz w:val="26"/>
          <w:szCs w:val="26"/>
        </w:rPr>
        <w:t xml:space="preserve">В ведомстве отдела культуры, туризма и народных художественных промыслов находятся 5 учреждений. </w:t>
      </w:r>
      <w:r w:rsidRPr="00BA76A0">
        <w:rPr>
          <w:rFonts w:ascii="Times New Roman" w:eastAsia="Times New Roman" w:hAnsi="Times New Roman" w:cs="Times New Roman"/>
          <w:sz w:val="26"/>
          <w:szCs w:val="26"/>
        </w:rPr>
        <w:t xml:space="preserve">Общий бюджет отрасли культуры составил 118,8  млн. рублей. Доходы от собственной деятельности учреждений составили 5,9 млн. рублей. </w:t>
      </w:r>
    </w:p>
    <w:p w:rsidR="00DF0854" w:rsidRPr="00BA76A0" w:rsidRDefault="00DF0854" w:rsidP="00FA1AC5">
      <w:pPr>
        <w:pStyle w:val="a3"/>
        <w:spacing w:line="360" w:lineRule="auto"/>
        <w:ind w:left="0"/>
        <w:jc w:val="both"/>
        <w:rPr>
          <w:rFonts w:ascii="Times New Roman" w:hAnsi="Times New Roman"/>
          <w:sz w:val="26"/>
          <w:szCs w:val="26"/>
        </w:rPr>
      </w:pPr>
      <w:r w:rsidRPr="00BA76A0">
        <w:rPr>
          <w:rFonts w:ascii="Times New Roman" w:hAnsi="Times New Roman"/>
          <w:color w:val="000000"/>
          <w:sz w:val="26"/>
          <w:szCs w:val="26"/>
        </w:rPr>
        <w:t>Общее количество мероприятий с очным присутствием посетителей составило 5924. Количество посетителей 390 тыс.</w:t>
      </w:r>
      <w:r w:rsidR="00C21983">
        <w:rPr>
          <w:rFonts w:ascii="Times New Roman" w:hAnsi="Times New Roman"/>
          <w:color w:val="000000"/>
          <w:sz w:val="26"/>
          <w:szCs w:val="26"/>
        </w:rPr>
        <w:t xml:space="preserve"> </w:t>
      </w:r>
      <w:r w:rsidRPr="00BA76A0">
        <w:rPr>
          <w:rFonts w:ascii="Times New Roman" w:hAnsi="Times New Roman"/>
          <w:color w:val="000000"/>
          <w:sz w:val="26"/>
          <w:szCs w:val="26"/>
        </w:rPr>
        <w:t>человек.</w:t>
      </w:r>
    </w:p>
    <w:p w:rsidR="00DF0854" w:rsidRPr="00BA76A0" w:rsidRDefault="00DF0854" w:rsidP="00FA1AC5">
      <w:pPr>
        <w:pStyle w:val="a3"/>
        <w:spacing w:line="360" w:lineRule="auto"/>
        <w:ind w:left="0" w:firstLine="709"/>
        <w:jc w:val="both"/>
        <w:rPr>
          <w:rFonts w:ascii="Times New Roman" w:hAnsi="Times New Roman"/>
          <w:color w:val="000000" w:themeColor="text1"/>
          <w:sz w:val="26"/>
          <w:szCs w:val="26"/>
        </w:rPr>
      </w:pPr>
      <w:r w:rsidRPr="00BA76A0">
        <w:rPr>
          <w:rFonts w:ascii="Times New Roman" w:hAnsi="Times New Roman"/>
          <w:color w:val="000000" w:themeColor="text1"/>
          <w:sz w:val="26"/>
          <w:szCs w:val="26"/>
        </w:rPr>
        <w:t xml:space="preserve">Охват населения библиотечным обслуживанием составил 89%. </w:t>
      </w:r>
    </w:p>
    <w:p w:rsidR="00DF0854" w:rsidRPr="00BA76A0" w:rsidRDefault="00DF0854" w:rsidP="00FA1AC5">
      <w:pPr>
        <w:pStyle w:val="a3"/>
        <w:spacing w:line="360" w:lineRule="auto"/>
        <w:ind w:left="0" w:firstLine="709"/>
        <w:jc w:val="both"/>
        <w:rPr>
          <w:rFonts w:ascii="Times New Roman" w:hAnsi="Times New Roman"/>
          <w:color w:val="000000" w:themeColor="text1"/>
          <w:sz w:val="26"/>
          <w:szCs w:val="26"/>
        </w:rPr>
      </w:pPr>
      <w:r w:rsidRPr="00BA76A0">
        <w:rPr>
          <w:rFonts w:ascii="Times New Roman" w:hAnsi="Times New Roman"/>
          <w:color w:val="000000" w:themeColor="text1"/>
          <w:sz w:val="26"/>
          <w:szCs w:val="26"/>
        </w:rPr>
        <w:t>Музейный фонд насчитывает 8543 единиц хранения.</w:t>
      </w:r>
      <w:r w:rsidR="00082073" w:rsidRPr="00BA76A0">
        <w:rPr>
          <w:rFonts w:ascii="Times New Roman" w:hAnsi="Times New Roman"/>
          <w:color w:val="000000" w:themeColor="text1"/>
          <w:sz w:val="26"/>
          <w:szCs w:val="26"/>
        </w:rPr>
        <w:t> </w:t>
      </w:r>
      <w:r w:rsidRPr="00BA76A0">
        <w:rPr>
          <w:rFonts w:ascii="Times New Roman" w:hAnsi="Times New Roman"/>
          <w:color w:val="000000" w:themeColor="text1"/>
          <w:sz w:val="26"/>
          <w:szCs w:val="26"/>
        </w:rPr>
        <w:t>В 2025 году фонды музея пополнились на 133 единицы.</w:t>
      </w:r>
    </w:p>
    <w:p w:rsidR="00DF0854" w:rsidRPr="00BA76A0" w:rsidRDefault="00DF0854" w:rsidP="00FA1AC5">
      <w:pPr>
        <w:pStyle w:val="a3"/>
        <w:spacing w:line="360" w:lineRule="auto"/>
        <w:ind w:left="0" w:firstLine="709"/>
        <w:jc w:val="both"/>
        <w:rPr>
          <w:rFonts w:ascii="Times New Roman" w:hAnsi="Times New Roman"/>
          <w:color w:val="000000" w:themeColor="text1"/>
          <w:sz w:val="26"/>
          <w:szCs w:val="26"/>
        </w:rPr>
      </w:pPr>
      <w:r w:rsidRPr="00BA76A0">
        <w:rPr>
          <w:rFonts w:ascii="Times New Roman" w:hAnsi="Times New Roman"/>
          <w:sz w:val="26"/>
          <w:szCs w:val="26"/>
        </w:rPr>
        <w:t>Муниципальное задание выполнено всеми учреждениями.</w:t>
      </w:r>
    </w:p>
    <w:p w:rsidR="00DF0854" w:rsidRPr="00BA76A0" w:rsidRDefault="00DF0854" w:rsidP="00C21983">
      <w:pPr>
        <w:spacing w:after="0" w:line="360" w:lineRule="auto"/>
        <w:ind w:firstLine="608"/>
        <w:contextualSpacing/>
        <w:jc w:val="both"/>
        <w:rPr>
          <w:rFonts w:ascii="Times New Roman" w:hAnsi="Times New Roman" w:cs="Times New Roman"/>
          <w:sz w:val="26"/>
          <w:szCs w:val="26"/>
        </w:rPr>
      </w:pPr>
      <w:r w:rsidRPr="00BA76A0">
        <w:rPr>
          <w:rFonts w:ascii="Times New Roman" w:hAnsi="Times New Roman" w:cs="Times New Roman"/>
          <w:sz w:val="26"/>
          <w:szCs w:val="26"/>
        </w:rPr>
        <w:t>Традиционно творческие коллективы и исполнители учреждений принимали активное участие в самых разнообразных конкурсах, где неизменно становились лауреатами и дипломантами различной степени.</w:t>
      </w:r>
    </w:p>
    <w:p w:rsidR="00DF0854" w:rsidRPr="00BA76A0" w:rsidRDefault="00DF0854" w:rsidP="00FA1AC5">
      <w:pPr>
        <w:spacing w:after="0" w:line="360" w:lineRule="auto"/>
        <w:ind w:firstLineChars="234" w:firstLine="608"/>
        <w:contextualSpacing/>
        <w:jc w:val="both"/>
        <w:rPr>
          <w:rFonts w:ascii="Times New Roman" w:eastAsia="Arial" w:hAnsi="Times New Roman" w:cs="Times New Roman"/>
          <w:color w:val="000000"/>
          <w:sz w:val="26"/>
          <w:szCs w:val="26"/>
          <w:shd w:val="clear" w:color="auto" w:fill="FFFFFF"/>
        </w:rPr>
      </w:pPr>
      <w:r w:rsidRPr="00BA76A0">
        <w:rPr>
          <w:rFonts w:ascii="Times New Roman" w:eastAsia="Arial" w:hAnsi="Times New Roman" w:cs="Times New Roman"/>
          <w:color w:val="000000"/>
          <w:sz w:val="26"/>
          <w:szCs w:val="26"/>
          <w:shd w:val="clear" w:color="auto" w:fill="FFFFFF"/>
        </w:rPr>
        <w:t xml:space="preserve">Программа «Земский работник культуры» начала действовать в 2025 году. Цель программы — привлечь специалистов в культурные организации, расположенные в сельских населенных пунктах, рабочих поселках и малых </w:t>
      </w:r>
      <w:r w:rsidRPr="00BA76A0">
        <w:rPr>
          <w:rFonts w:ascii="Times New Roman" w:eastAsia="Arial" w:hAnsi="Times New Roman" w:cs="Times New Roman"/>
          <w:color w:val="000000"/>
          <w:sz w:val="26"/>
          <w:szCs w:val="26"/>
          <w:shd w:val="clear" w:color="auto" w:fill="FFFFFF"/>
        </w:rPr>
        <w:lastRenderedPageBreak/>
        <w:t xml:space="preserve">городах. Участниками программы стали более 2 500 учреждений из 87 субъектов России. </w:t>
      </w:r>
    </w:p>
    <w:p w:rsidR="00066A1B" w:rsidRPr="00BA76A0" w:rsidRDefault="00066A1B" w:rsidP="00FA1AC5">
      <w:pPr>
        <w:pBdr>
          <w:bottom w:val="single" w:sz="12" w:space="1" w:color="000000"/>
        </w:pBdr>
        <w:spacing w:after="0" w:line="360" w:lineRule="auto"/>
        <w:contextualSpacing/>
        <w:jc w:val="both"/>
        <w:rPr>
          <w:rFonts w:ascii="Times New Roman" w:eastAsia="Times New Roman" w:hAnsi="Times New Roman" w:cs="Times New Roman"/>
          <w:color w:val="000000"/>
          <w:sz w:val="26"/>
          <w:szCs w:val="26"/>
        </w:rPr>
      </w:pPr>
      <w:r w:rsidRPr="00BA76A0">
        <w:rPr>
          <w:rFonts w:ascii="Times New Roman" w:eastAsia="Times New Roman" w:hAnsi="Times New Roman" w:cs="Times New Roman"/>
          <w:color w:val="000000"/>
          <w:sz w:val="26"/>
          <w:szCs w:val="26"/>
        </w:rPr>
        <w:tab/>
        <w:t>Основными показателями деятельности учреждений по-прежнему остаются количество мероприятий и посетителей, выполнение плана по внебюджетным доходам, выполнение муниципального задания, результативность участия в творческих  конкурсах и фестивалях, внедрение новых форм работы, укрепление материально-технической базы.</w:t>
      </w:r>
    </w:p>
    <w:p w:rsidR="009A577B" w:rsidRPr="00BA76A0" w:rsidRDefault="001B71F4" w:rsidP="00FA1AC5">
      <w:pPr>
        <w:spacing w:after="0" w:line="360" w:lineRule="auto"/>
        <w:ind w:firstLine="709"/>
        <w:contextualSpacing/>
        <w:jc w:val="both"/>
        <w:rPr>
          <w:rFonts w:ascii="Times New Roman" w:hAnsi="Times New Roman" w:cs="Times New Roman"/>
          <w:color w:val="000000"/>
          <w:sz w:val="26"/>
          <w:szCs w:val="26"/>
        </w:rPr>
      </w:pPr>
      <w:bookmarkStart w:id="0" w:name="_Hlk164773666"/>
      <w:r w:rsidRPr="00BA76A0">
        <w:rPr>
          <w:rFonts w:ascii="Times New Roman" w:hAnsi="Times New Roman" w:cs="Times New Roman"/>
          <w:color w:val="000000"/>
          <w:sz w:val="26"/>
          <w:szCs w:val="26"/>
        </w:rPr>
        <w:t xml:space="preserve">Общее количество мероприятий с очным присутствием посетителей составило </w:t>
      </w:r>
      <w:r w:rsidRPr="00BA76A0">
        <w:rPr>
          <w:rFonts w:ascii="Times New Roman" w:hAnsi="Times New Roman" w:cs="Times New Roman"/>
          <w:sz w:val="26"/>
          <w:szCs w:val="26"/>
        </w:rPr>
        <w:t>6027</w:t>
      </w:r>
      <w:r w:rsidRPr="00BA76A0">
        <w:rPr>
          <w:rFonts w:ascii="Times New Roman" w:hAnsi="Times New Roman" w:cs="Times New Roman"/>
          <w:color w:val="000000"/>
          <w:sz w:val="26"/>
          <w:szCs w:val="26"/>
        </w:rPr>
        <w:t xml:space="preserve">. </w:t>
      </w:r>
    </w:p>
    <w:p w:rsidR="00DF0854" w:rsidRPr="00BA76A0" w:rsidRDefault="009A577B" w:rsidP="00FA1AC5">
      <w:pPr>
        <w:spacing w:after="0" w:line="360" w:lineRule="auto"/>
        <w:ind w:firstLine="709"/>
        <w:contextualSpacing/>
        <w:jc w:val="both"/>
        <w:rPr>
          <w:rFonts w:ascii="Times New Roman" w:hAnsi="Times New Roman" w:cs="Times New Roman"/>
          <w:color w:val="000000"/>
          <w:sz w:val="26"/>
          <w:szCs w:val="26"/>
        </w:rPr>
      </w:pPr>
      <w:r w:rsidRPr="00BA76A0">
        <w:rPr>
          <w:rFonts w:ascii="Times New Roman" w:hAnsi="Times New Roman" w:cs="Times New Roman"/>
          <w:color w:val="000000"/>
          <w:sz w:val="26"/>
          <w:szCs w:val="26"/>
        </w:rPr>
        <w:t xml:space="preserve">Размер средней заработной платы работников муниципальных учреждений культуры Шарангского </w:t>
      </w:r>
      <w:r w:rsidR="00DF0854" w:rsidRPr="00BA76A0">
        <w:rPr>
          <w:rFonts w:ascii="Times New Roman" w:hAnsi="Times New Roman" w:cs="Times New Roman"/>
          <w:color w:val="000000"/>
          <w:sz w:val="26"/>
          <w:szCs w:val="26"/>
        </w:rPr>
        <w:t>округа за 2025</w:t>
      </w:r>
      <w:r w:rsidRPr="00BA76A0">
        <w:rPr>
          <w:rFonts w:ascii="Times New Roman" w:hAnsi="Times New Roman" w:cs="Times New Roman"/>
          <w:color w:val="000000"/>
          <w:sz w:val="26"/>
          <w:szCs w:val="26"/>
        </w:rPr>
        <w:t xml:space="preserve"> год составил </w:t>
      </w:r>
      <w:r w:rsidR="00DF0854" w:rsidRPr="00BA76A0">
        <w:rPr>
          <w:rFonts w:ascii="Times New Roman" w:hAnsi="Times New Roman" w:cs="Times New Roman"/>
          <w:color w:val="000000"/>
          <w:sz w:val="26"/>
          <w:szCs w:val="26"/>
        </w:rPr>
        <w:t>58237,34</w:t>
      </w:r>
      <w:r w:rsidRPr="00BA76A0">
        <w:rPr>
          <w:rFonts w:ascii="Times New Roman" w:hAnsi="Times New Roman" w:cs="Times New Roman"/>
          <w:sz w:val="26"/>
          <w:szCs w:val="26"/>
        </w:rPr>
        <w:t xml:space="preserve"> </w:t>
      </w:r>
      <w:r w:rsidR="00DF0854" w:rsidRPr="00BA76A0">
        <w:rPr>
          <w:rFonts w:ascii="Times New Roman" w:hAnsi="Times New Roman" w:cs="Times New Roman"/>
          <w:color w:val="000000"/>
          <w:sz w:val="26"/>
          <w:szCs w:val="26"/>
        </w:rPr>
        <w:t>рублей, что выше 2024 года на 3</w:t>
      </w:r>
      <w:r w:rsidRPr="00BA76A0">
        <w:rPr>
          <w:rFonts w:ascii="Times New Roman" w:hAnsi="Times New Roman" w:cs="Times New Roman"/>
          <w:color w:val="000000"/>
          <w:sz w:val="26"/>
          <w:szCs w:val="26"/>
        </w:rPr>
        <w:t>%.</w:t>
      </w:r>
      <w:bookmarkEnd w:id="0"/>
    </w:p>
    <w:p w:rsidR="00DF0854" w:rsidRPr="00BA76A0" w:rsidRDefault="00DF0854" w:rsidP="00FA1AC5">
      <w:pPr>
        <w:tabs>
          <w:tab w:val="left" w:pos="567"/>
        </w:tabs>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Все учреждения культуры Шарангского муниципального округа являются активными участниками проекта Пушкинская карта. За 2025 год в рамках программы «Пушкинская карта» прошло 486 мероприятий продано 4886 билетов, заработано 2 млн. рублей (1,9 млн. руб. в 2024 г.).</w:t>
      </w:r>
    </w:p>
    <w:p w:rsidR="00DF0854" w:rsidRPr="00BA76A0" w:rsidRDefault="00DF0854" w:rsidP="00FA1AC5">
      <w:pPr>
        <w:shd w:val="clear" w:color="auto" w:fill="FFFFFF"/>
        <w:spacing w:after="0" w:line="360" w:lineRule="auto"/>
        <w:ind w:firstLine="708"/>
        <w:contextualSpacing/>
        <w:jc w:val="both"/>
        <w:rPr>
          <w:rFonts w:ascii="Times New Roman" w:eastAsia="Times New Roman" w:hAnsi="Times New Roman" w:cs="Times New Roman"/>
          <w:sz w:val="26"/>
          <w:szCs w:val="26"/>
        </w:rPr>
      </w:pPr>
      <w:r w:rsidRPr="00BA76A0">
        <w:rPr>
          <w:rFonts w:ascii="Times New Roman" w:eastAsia="Times New Roman" w:hAnsi="Times New Roman" w:cs="Times New Roman"/>
          <w:sz w:val="26"/>
          <w:szCs w:val="26"/>
        </w:rPr>
        <w:t>В 2025 году продолжена работа по укреплению материально-технической базы, проведение капитальных и текущих ремонтов.</w:t>
      </w:r>
    </w:p>
    <w:p w:rsidR="00DF0854" w:rsidRPr="00BA76A0" w:rsidRDefault="00DF0854"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В 2025 году продолжена работа по развитию туристического потенциала Шарангского округа. Проводятся экскурсии по Шаранге и Шарангскому округу, разрабатываются индивидуальные программы по запросам групп. Наиболее популярным направлением по-прежнему остаётся марийская культура. </w:t>
      </w:r>
    </w:p>
    <w:p w:rsidR="00DF0854" w:rsidRPr="00BA76A0" w:rsidRDefault="00DF0854" w:rsidP="00FA1AC5">
      <w:pPr>
        <w:spacing w:after="0" w:line="360" w:lineRule="auto"/>
        <w:ind w:firstLine="709"/>
        <w:contextualSpacing/>
        <w:jc w:val="both"/>
        <w:rPr>
          <w:rFonts w:ascii="Times New Roman" w:eastAsia="Times New Roman" w:hAnsi="Times New Roman" w:cs="Times New Roman"/>
          <w:sz w:val="26"/>
          <w:szCs w:val="26"/>
        </w:rPr>
      </w:pPr>
      <w:r w:rsidRPr="00BA76A0">
        <w:rPr>
          <w:rFonts w:ascii="Times New Roman" w:eastAsia="Times New Roman" w:hAnsi="Times New Roman" w:cs="Times New Roman"/>
          <w:bCs/>
          <w:color w:val="000000"/>
          <w:sz w:val="26"/>
          <w:szCs w:val="26"/>
          <w:shd w:val="clear" w:color="auto" w:fill="FFFFFF"/>
          <w:lang w:eastAsia="ru-RU"/>
        </w:rPr>
        <w:t>Впервые Шарангский округ принял участие в  XX Международной выставке-форуме гостеприимства регионов «Интурмаркет»</w:t>
      </w:r>
      <w:r w:rsidRPr="00BA76A0">
        <w:rPr>
          <w:rFonts w:ascii="Times New Roman" w:eastAsia="Times New Roman" w:hAnsi="Times New Roman" w:cs="Times New Roman"/>
          <w:color w:val="000000"/>
          <w:sz w:val="26"/>
          <w:szCs w:val="26"/>
          <w:shd w:val="clear" w:color="auto" w:fill="FFFFFF"/>
          <w:lang w:eastAsia="ru-RU"/>
        </w:rPr>
        <w:t>.</w:t>
      </w:r>
    </w:p>
    <w:p w:rsidR="007B618B" w:rsidRPr="008A7DE3" w:rsidRDefault="00C4495F" w:rsidP="00BA76A0">
      <w:pPr>
        <w:spacing w:after="0" w:line="360" w:lineRule="auto"/>
        <w:contextualSpacing/>
        <w:jc w:val="center"/>
        <w:rPr>
          <w:rFonts w:ascii="Times New Roman" w:hAnsi="Times New Roman"/>
          <w:b/>
          <w:sz w:val="26"/>
          <w:szCs w:val="26"/>
        </w:rPr>
      </w:pPr>
      <w:r w:rsidRPr="008A7DE3">
        <w:rPr>
          <w:rStyle w:val="FontStyle14"/>
          <w:rFonts w:ascii="Times New Roman" w:hAnsi="Times New Roman" w:cs="Times New Roman"/>
          <w:sz w:val="26"/>
          <w:szCs w:val="26"/>
          <w:lang w:val="en-US"/>
        </w:rPr>
        <w:t>VI</w:t>
      </w:r>
      <w:r w:rsidR="007B618B" w:rsidRPr="008A7DE3">
        <w:rPr>
          <w:rFonts w:ascii="Times New Roman" w:hAnsi="Times New Roman"/>
          <w:b/>
          <w:sz w:val="26"/>
          <w:szCs w:val="26"/>
        </w:rPr>
        <w:t>.</w:t>
      </w:r>
      <w:r w:rsidR="00082073" w:rsidRPr="008A7DE3">
        <w:rPr>
          <w:rFonts w:ascii="Times New Roman" w:hAnsi="Times New Roman"/>
          <w:b/>
          <w:sz w:val="26"/>
          <w:szCs w:val="26"/>
        </w:rPr>
        <w:t> </w:t>
      </w:r>
      <w:r w:rsidR="007B618B" w:rsidRPr="008A7DE3">
        <w:rPr>
          <w:rFonts w:ascii="Times New Roman" w:hAnsi="Times New Roman"/>
          <w:b/>
          <w:sz w:val="26"/>
          <w:szCs w:val="26"/>
        </w:rPr>
        <w:t>Физическая культура и спорт</w:t>
      </w:r>
    </w:p>
    <w:p w:rsidR="008A7DE3" w:rsidRPr="00500390" w:rsidRDefault="004220E7" w:rsidP="008A7DE3">
      <w:pPr>
        <w:shd w:val="clear" w:color="auto" w:fill="FFFFFF"/>
        <w:spacing w:after="0" w:line="360" w:lineRule="auto"/>
        <w:ind w:firstLine="709"/>
        <w:jc w:val="both"/>
        <w:rPr>
          <w:rFonts w:ascii="Times New Roman" w:hAnsi="Times New Roman" w:cs="Times New Roman"/>
          <w:sz w:val="28"/>
          <w:szCs w:val="28"/>
        </w:rPr>
      </w:pPr>
      <w:r w:rsidRPr="008A7DE3">
        <w:rPr>
          <w:rFonts w:ascii="Times New Roman" w:hAnsi="Times New Roman" w:cs="Times New Roman"/>
          <w:sz w:val="26"/>
          <w:szCs w:val="26"/>
        </w:rPr>
        <w:t xml:space="preserve">Физическая культура и спорт в Шарангском округе является одной из основных составляющих социальной политики. </w:t>
      </w:r>
      <w:r w:rsidR="008A7DE3" w:rsidRPr="00500390">
        <w:rPr>
          <w:rFonts w:ascii="Times New Roman" w:hAnsi="Times New Roman" w:cs="Times New Roman"/>
          <w:sz w:val="28"/>
          <w:szCs w:val="28"/>
        </w:rPr>
        <w:t>Всего на развитие физкультуры и спорта в 2025 году направлено</w:t>
      </w:r>
      <w:r w:rsidR="008A7DE3">
        <w:rPr>
          <w:rFonts w:ascii="Times New Roman" w:hAnsi="Times New Roman" w:cs="Times New Roman"/>
          <w:sz w:val="28"/>
          <w:szCs w:val="28"/>
        </w:rPr>
        <w:t xml:space="preserve"> </w:t>
      </w:r>
      <w:r w:rsidR="008A7DE3" w:rsidRPr="00500390">
        <w:rPr>
          <w:rFonts w:ascii="Times New Roman" w:hAnsi="Times New Roman" w:cs="Times New Roman"/>
          <w:sz w:val="28"/>
          <w:szCs w:val="28"/>
        </w:rPr>
        <w:t>80,2 млн. рублей (2024 год – 65,5 млн. рублей). Основная работа в этом направлении проводится в школах округа, Шарангском ДЮЦ и ФОКе.</w:t>
      </w:r>
    </w:p>
    <w:p w:rsidR="004220E7" w:rsidRPr="008A7DE3" w:rsidRDefault="008A7DE3" w:rsidP="00FA1AC5">
      <w:pPr>
        <w:shd w:val="clear" w:color="auto" w:fill="FFFFFF"/>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По итогам года 638</w:t>
      </w:r>
      <w:r w:rsidR="004220E7" w:rsidRPr="008A7DE3">
        <w:rPr>
          <w:rFonts w:ascii="Times New Roman" w:hAnsi="Times New Roman" w:cs="Times New Roman"/>
          <w:sz w:val="26"/>
          <w:szCs w:val="26"/>
        </w:rPr>
        <w:t>2 человека в возрасте от 3 до79 лет занимаются физической культуро</w:t>
      </w:r>
      <w:r w:rsidR="00BB7AD5">
        <w:rPr>
          <w:rFonts w:ascii="Times New Roman" w:hAnsi="Times New Roman" w:cs="Times New Roman"/>
          <w:sz w:val="26"/>
          <w:szCs w:val="26"/>
        </w:rPr>
        <w:t>й и спортом, что составляет 64,79</w:t>
      </w:r>
      <w:r w:rsidR="004220E7" w:rsidRPr="008A7DE3">
        <w:rPr>
          <w:rFonts w:ascii="Times New Roman" w:hAnsi="Times New Roman" w:cs="Times New Roman"/>
          <w:sz w:val="26"/>
          <w:szCs w:val="26"/>
        </w:rPr>
        <w:t xml:space="preserve"> % </w:t>
      </w:r>
      <w:r w:rsidR="00BB7AD5">
        <w:rPr>
          <w:rFonts w:ascii="Times New Roman" w:hAnsi="Times New Roman" w:cs="Times New Roman"/>
          <w:sz w:val="26"/>
          <w:szCs w:val="26"/>
        </w:rPr>
        <w:t>жителей округа (2024 год -64,59%</w:t>
      </w:r>
      <w:r w:rsidR="004220E7" w:rsidRPr="008A7DE3">
        <w:rPr>
          <w:rFonts w:ascii="Times New Roman" w:hAnsi="Times New Roman" w:cs="Times New Roman"/>
          <w:sz w:val="26"/>
          <w:szCs w:val="26"/>
        </w:rPr>
        <w:t>).</w:t>
      </w:r>
    </w:p>
    <w:p w:rsidR="00625F31" w:rsidRPr="00500390" w:rsidRDefault="00625F31" w:rsidP="00625F31">
      <w:pPr>
        <w:spacing w:after="0" w:line="360" w:lineRule="auto"/>
        <w:ind w:firstLine="709"/>
        <w:jc w:val="both"/>
        <w:rPr>
          <w:rFonts w:ascii="Times New Roman" w:hAnsi="Times New Roman" w:cs="Times New Roman"/>
          <w:sz w:val="28"/>
          <w:szCs w:val="28"/>
        </w:rPr>
      </w:pPr>
      <w:r w:rsidRPr="00500390">
        <w:rPr>
          <w:rFonts w:ascii="Times New Roman" w:hAnsi="Times New Roman" w:cs="Times New Roman"/>
          <w:sz w:val="28"/>
          <w:szCs w:val="28"/>
        </w:rPr>
        <w:t>Доля граждан старшего возраста, систематически занимающихся физической культурой и спортом в Шарангском округе, в 2025 году составила 28,3 %. ( 2024 году – 25,2%).</w:t>
      </w:r>
    </w:p>
    <w:p w:rsidR="003669DC" w:rsidRPr="00BA76A0" w:rsidRDefault="00625F31" w:rsidP="00625F31">
      <w:pPr>
        <w:spacing w:after="0" w:line="360" w:lineRule="auto"/>
        <w:ind w:firstLine="709"/>
        <w:contextualSpacing/>
        <w:jc w:val="both"/>
        <w:rPr>
          <w:rFonts w:ascii="Times New Roman" w:hAnsi="Times New Roman" w:cs="Times New Roman"/>
          <w:sz w:val="26"/>
          <w:szCs w:val="26"/>
          <w:highlight w:val="yellow"/>
        </w:rPr>
      </w:pPr>
      <w:r w:rsidRPr="00500390">
        <w:rPr>
          <w:rFonts w:ascii="Times New Roman" w:hAnsi="Times New Roman" w:cs="Times New Roman"/>
          <w:sz w:val="28"/>
          <w:szCs w:val="28"/>
        </w:rPr>
        <w:t xml:space="preserve">  В 2025 году было проведено 209 спортивно-массовых мероприятий, в которых приняли участие более 12000 человек.Самыми популярными и более массовыми видами спорта остаются волейбол, баскетбол, футбол, легкая атлетика, лыжные гонки. По всем этим видам</w:t>
      </w:r>
      <w:r>
        <w:rPr>
          <w:rFonts w:ascii="Times New Roman" w:hAnsi="Times New Roman" w:cs="Times New Roman"/>
          <w:sz w:val="28"/>
          <w:szCs w:val="28"/>
        </w:rPr>
        <w:t xml:space="preserve"> спорта</w:t>
      </w:r>
      <w:r w:rsidRPr="00500390">
        <w:rPr>
          <w:rFonts w:ascii="Times New Roman" w:hAnsi="Times New Roman" w:cs="Times New Roman"/>
          <w:sz w:val="28"/>
          <w:szCs w:val="28"/>
        </w:rPr>
        <w:t>, а так же по шахматам, шашкам, боксу, мини-футболу, хоккею, настольному теннису,  дзюдо, дартсу, пауэрлифтингу, сумо, стритболу, плаванию, флорболу, стрельбе проводились муниципальные соревнования.</w:t>
      </w:r>
    </w:p>
    <w:p w:rsidR="007B618B" w:rsidRPr="00BA76A0" w:rsidRDefault="007B618B" w:rsidP="00265706">
      <w:pPr>
        <w:spacing w:after="0" w:line="360" w:lineRule="auto"/>
        <w:contextualSpacing/>
        <w:jc w:val="center"/>
        <w:rPr>
          <w:rFonts w:ascii="Times New Roman" w:hAnsi="Times New Roman"/>
          <w:b/>
          <w:sz w:val="26"/>
          <w:szCs w:val="26"/>
        </w:rPr>
      </w:pPr>
      <w:r w:rsidRPr="00BA76A0">
        <w:rPr>
          <w:rFonts w:ascii="Times New Roman" w:hAnsi="Times New Roman"/>
          <w:b/>
          <w:sz w:val="26"/>
          <w:szCs w:val="26"/>
          <w:lang w:val="en-US"/>
        </w:rPr>
        <w:t>VI</w:t>
      </w:r>
      <w:r w:rsidR="00C4495F" w:rsidRPr="00BA76A0">
        <w:rPr>
          <w:rFonts w:ascii="Times New Roman" w:hAnsi="Times New Roman"/>
          <w:b/>
          <w:sz w:val="26"/>
          <w:szCs w:val="26"/>
          <w:lang w:val="en-US"/>
        </w:rPr>
        <w:t>I</w:t>
      </w:r>
      <w:r w:rsidRPr="00BA76A0">
        <w:rPr>
          <w:rFonts w:ascii="Times New Roman" w:hAnsi="Times New Roman"/>
          <w:b/>
          <w:sz w:val="26"/>
          <w:szCs w:val="26"/>
        </w:rPr>
        <w:t>.Жилищное строительство и обеспечение граждан жильем</w:t>
      </w:r>
    </w:p>
    <w:p w:rsidR="002557F6" w:rsidRPr="00BA76A0" w:rsidRDefault="002557F6" w:rsidP="00FA1AC5">
      <w:pPr>
        <w:spacing w:after="0" w:line="360" w:lineRule="auto"/>
        <w:ind w:firstLine="709"/>
        <w:contextualSpacing/>
        <w:jc w:val="both"/>
        <w:rPr>
          <w:rFonts w:ascii="Times New Roman" w:hAnsi="Times New Roman" w:cs="Times New Roman"/>
          <w:bCs/>
          <w:color w:val="000000"/>
          <w:sz w:val="26"/>
          <w:szCs w:val="26"/>
        </w:rPr>
      </w:pPr>
      <w:r w:rsidRPr="00BA76A0">
        <w:rPr>
          <w:rFonts w:ascii="Times New Roman" w:hAnsi="Times New Roman" w:cs="Times New Roman"/>
          <w:bCs/>
          <w:color w:val="000000"/>
          <w:sz w:val="26"/>
          <w:szCs w:val="26"/>
        </w:rPr>
        <w:t>В рамках реализации 1 этапа программы по переселению граждан из аварийного жилищного фонда расселен аварийный дом, расположенный в центре поселка по адресу: р.п. Шаранга. ул. Большевиков, д. 25. Приобретено 4 жилых помещения. 4 семьи, а это 6 человек переехали в новые благоустроенные квартиры. На реализацию мероприятий данной программы в 2025 году выделено финансовых средств в размере 13млн. руб.</w:t>
      </w:r>
    </w:p>
    <w:p w:rsidR="002557F6" w:rsidRPr="00BA76A0" w:rsidRDefault="002557F6" w:rsidP="00FA1AC5">
      <w:pPr>
        <w:spacing w:line="360" w:lineRule="auto"/>
        <w:ind w:firstLine="709"/>
        <w:contextualSpacing/>
        <w:jc w:val="both"/>
        <w:rPr>
          <w:rFonts w:ascii="Times New Roman" w:hAnsi="Times New Roman" w:cs="Times New Roman"/>
          <w:color w:val="000000"/>
          <w:sz w:val="26"/>
          <w:szCs w:val="26"/>
        </w:rPr>
      </w:pPr>
      <w:r w:rsidRPr="00BA76A0">
        <w:rPr>
          <w:rFonts w:ascii="Times New Roman" w:hAnsi="Times New Roman" w:cs="Times New Roman"/>
          <w:color w:val="000000"/>
          <w:sz w:val="26"/>
          <w:szCs w:val="26"/>
        </w:rPr>
        <w:t xml:space="preserve">Для предоставления детям-сиротам и лицам, оставшимся без попечения родителей, ежегодно приобретаются жилые помещения. Не стал исключением и 2025 год, приобретено 5 жилых помещений на первичном рынке жилья. Общая площадь приобретенных квартир составляет </w:t>
      </w:r>
      <w:r w:rsidRPr="00BA76A0">
        <w:rPr>
          <w:rFonts w:ascii="Times New Roman" w:hAnsi="Times New Roman" w:cs="Times New Roman"/>
          <w:bCs/>
          <w:color w:val="000000"/>
          <w:sz w:val="26"/>
          <w:szCs w:val="26"/>
        </w:rPr>
        <w:t xml:space="preserve">174,9 кв.м. Стоимость -14,9 млн. рублей. </w:t>
      </w:r>
      <w:bookmarkStart w:id="1" w:name="_Hlk127171252"/>
      <w:r w:rsidRPr="00BA76A0">
        <w:rPr>
          <w:rFonts w:ascii="Times New Roman" w:hAnsi="Times New Roman" w:cs="Times New Roman"/>
          <w:bCs/>
          <w:color w:val="000000"/>
          <w:sz w:val="26"/>
          <w:szCs w:val="26"/>
        </w:rPr>
        <w:t>Денежные средства</w:t>
      </w:r>
      <w:r w:rsidRPr="00BA76A0">
        <w:rPr>
          <w:rFonts w:ascii="Times New Roman" w:hAnsi="Times New Roman" w:cs="Times New Roman"/>
          <w:color w:val="000000"/>
          <w:sz w:val="26"/>
          <w:szCs w:val="26"/>
        </w:rPr>
        <w:t xml:space="preserve"> выделялись из федерального и областного бюджетов</w:t>
      </w:r>
      <w:bookmarkEnd w:id="1"/>
      <w:r w:rsidRPr="00BA76A0">
        <w:rPr>
          <w:rFonts w:ascii="Times New Roman" w:hAnsi="Times New Roman" w:cs="Times New Roman"/>
          <w:color w:val="000000"/>
          <w:sz w:val="26"/>
          <w:szCs w:val="26"/>
        </w:rPr>
        <w:t>.</w:t>
      </w:r>
    </w:p>
    <w:p w:rsidR="002557F6" w:rsidRPr="00BA76A0" w:rsidRDefault="002557F6" w:rsidP="00FA1AC5">
      <w:pPr>
        <w:spacing w:line="360" w:lineRule="auto"/>
        <w:ind w:firstLine="709"/>
        <w:contextualSpacing/>
        <w:jc w:val="both"/>
        <w:rPr>
          <w:rFonts w:ascii="Times New Roman" w:hAnsi="Times New Roman" w:cs="Times New Roman"/>
          <w:color w:val="000000"/>
          <w:sz w:val="26"/>
          <w:szCs w:val="26"/>
        </w:rPr>
      </w:pPr>
      <w:r w:rsidRPr="00BA76A0">
        <w:rPr>
          <w:rFonts w:ascii="Times New Roman" w:hAnsi="Times New Roman" w:cs="Times New Roman"/>
          <w:sz w:val="26"/>
          <w:szCs w:val="26"/>
        </w:rPr>
        <w:t>В июле 2025 года для граждан, утративших жилье в результате пожара администрацией округа приобретено жилое помещении общей площадью 44,4 кв.м. Стоимость приобретённой квартиры составляет -1,6 млн. руб.</w:t>
      </w:r>
    </w:p>
    <w:p w:rsidR="00B1318B" w:rsidRPr="00BA76A0" w:rsidRDefault="00BA76A0" w:rsidP="00BA76A0">
      <w:pPr>
        <w:spacing w:after="0"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  </w:t>
      </w:r>
      <w:r w:rsidR="00B1318B" w:rsidRPr="00BA76A0">
        <w:rPr>
          <w:rFonts w:ascii="Times New Roman" w:hAnsi="Times New Roman" w:cs="Times New Roman"/>
          <w:sz w:val="26"/>
          <w:szCs w:val="26"/>
        </w:rPr>
        <w:t xml:space="preserve">рамках </w:t>
      </w:r>
      <w:r w:rsidR="00B1318B" w:rsidRPr="00BA76A0">
        <w:rPr>
          <w:rStyle w:val="fontstyle01"/>
          <w:sz w:val="26"/>
          <w:szCs w:val="26"/>
        </w:rPr>
        <w:t>подпрограммы "Комплексное развитие сельских</w:t>
      </w:r>
      <w:r w:rsidR="00B1318B" w:rsidRPr="00BA76A0">
        <w:rPr>
          <w:rFonts w:ascii="Times New Roman" w:hAnsi="Times New Roman" w:cs="Times New Roman"/>
          <w:color w:val="000000"/>
          <w:sz w:val="26"/>
          <w:szCs w:val="26"/>
        </w:rPr>
        <w:br/>
      </w:r>
      <w:r w:rsidR="00B1318B" w:rsidRPr="00BA76A0">
        <w:rPr>
          <w:rStyle w:val="fontstyle01"/>
          <w:sz w:val="26"/>
          <w:szCs w:val="26"/>
        </w:rPr>
        <w:t xml:space="preserve">территорий Нижегородской области" </w:t>
      </w:r>
      <w:r w:rsidR="00B1318B" w:rsidRPr="00BA76A0">
        <w:rPr>
          <w:rFonts w:ascii="Times New Roman" w:hAnsi="Times New Roman" w:cs="Times New Roman"/>
          <w:sz w:val="26"/>
          <w:szCs w:val="26"/>
        </w:rPr>
        <w:t xml:space="preserve">округ участвует в строительстве жилья для определенных категорий граждан. </w:t>
      </w:r>
    </w:p>
    <w:p w:rsidR="00B1318B" w:rsidRPr="00BA76A0" w:rsidRDefault="003B43AB" w:rsidP="00FA1AC5">
      <w:pPr>
        <w:shd w:val="clear" w:color="auto" w:fill="FFFFFF"/>
        <w:tabs>
          <w:tab w:val="left" w:pos="567"/>
        </w:tabs>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На </w:t>
      </w:r>
      <w:r w:rsidR="00BA76A0">
        <w:rPr>
          <w:rFonts w:ascii="Times New Roman" w:hAnsi="Times New Roman" w:cs="Times New Roman"/>
          <w:sz w:val="26"/>
          <w:szCs w:val="26"/>
        </w:rPr>
        <w:t xml:space="preserve"> </w:t>
      </w:r>
      <w:r w:rsidRPr="00BA76A0">
        <w:rPr>
          <w:rFonts w:ascii="Times New Roman" w:hAnsi="Times New Roman" w:cs="Times New Roman"/>
          <w:sz w:val="26"/>
          <w:szCs w:val="26"/>
        </w:rPr>
        <w:t>01.01.2026</w:t>
      </w:r>
      <w:r w:rsidR="00B1318B" w:rsidRPr="00BA76A0">
        <w:rPr>
          <w:rFonts w:ascii="Times New Roman" w:hAnsi="Times New Roman" w:cs="Times New Roman"/>
          <w:sz w:val="26"/>
          <w:szCs w:val="26"/>
        </w:rPr>
        <w:t xml:space="preserve"> г. года введено в эксплуатацию </w:t>
      </w:r>
      <w:r w:rsidRPr="00BA76A0">
        <w:rPr>
          <w:rFonts w:ascii="Times New Roman" w:hAnsi="Times New Roman" w:cs="Times New Roman"/>
          <w:sz w:val="26"/>
          <w:szCs w:val="26"/>
          <w:shd w:val="clear" w:color="auto" w:fill="FFFFFF"/>
        </w:rPr>
        <w:t>1265</w:t>
      </w:r>
      <w:r w:rsidR="00B1318B" w:rsidRPr="00BA76A0">
        <w:rPr>
          <w:rFonts w:ascii="Times New Roman" w:hAnsi="Times New Roman" w:cs="Times New Roman"/>
          <w:sz w:val="26"/>
          <w:szCs w:val="26"/>
          <w:shd w:val="clear" w:color="auto" w:fill="FFFFFF"/>
        </w:rPr>
        <w:t xml:space="preserve"> кв.м.</w:t>
      </w:r>
      <w:r w:rsidR="00B1318B" w:rsidRPr="00BA76A0">
        <w:rPr>
          <w:rFonts w:ascii="Times New Roman" w:hAnsi="Times New Roman" w:cs="Times New Roman"/>
          <w:sz w:val="26"/>
          <w:szCs w:val="26"/>
        </w:rPr>
        <w:t xml:space="preserve"> жилья</w:t>
      </w:r>
      <w:r w:rsidRPr="00BA76A0">
        <w:rPr>
          <w:rFonts w:ascii="Times New Roman" w:hAnsi="Times New Roman" w:cs="Times New Roman"/>
          <w:sz w:val="26"/>
          <w:szCs w:val="26"/>
        </w:rPr>
        <w:t>.</w:t>
      </w:r>
    </w:p>
    <w:p w:rsidR="00B1318B" w:rsidRPr="00BA76A0" w:rsidRDefault="00B1318B" w:rsidP="00FA1AC5">
      <w:pPr>
        <w:spacing w:after="0" w:line="360" w:lineRule="auto"/>
        <w:ind w:firstLineChars="200" w:firstLine="520"/>
        <w:contextualSpacing/>
        <w:jc w:val="both"/>
        <w:rPr>
          <w:rFonts w:ascii="Times New Roman" w:eastAsia="Times New Roman" w:hAnsi="Times New Roman" w:cs="Times New Roman"/>
          <w:sz w:val="26"/>
          <w:szCs w:val="26"/>
          <w:lang w:eastAsia="ru-RU"/>
        </w:rPr>
      </w:pPr>
      <w:r w:rsidRPr="00BA76A0">
        <w:rPr>
          <w:rFonts w:ascii="Times New Roman" w:eastAsia="Times New Roman" w:hAnsi="Times New Roman" w:cs="Times New Roman"/>
          <w:sz w:val="26"/>
          <w:szCs w:val="26"/>
          <w:lang w:eastAsia="ru-RU"/>
        </w:rPr>
        <w:lastRenderedPageBreak/>
        <w:t>Площадь земельных участков, предостав</w:t>
      </w:r>
      <w:r w:rsidR="001009B4" w:rsidRPr="00BA76A0">
        <w:rPr>
          <w:rFonts w:ascii="Times New Roman" w:eastAsia="Times New Roman" w:hAnsi="Times New Roman" w:cs="Times New Roman"/>
          <w:sz w:val="26"/>
          <w:szCs w:val="26"/>
          <w:lang w:eastAsia="ru-RU"/>
        </w:rPr>
        <w:t>ленных для строительства за 2025</w:t>
      </w:r>
      <w:r w:rsidRPr="00BA76A0">
        <w:rPr>
          <w:rFonts w:ascii="Times New Roman" w:eastAsia="Times New Roman" w:hAnsi="Times New Roman" w:cs="Times New Roman"/>
          <w:sz w:val="26"/>
          <w:szCs w:val="26"/>
          <w:lang w:eastAsia="ru-RU"/>
        </w:rPr>
        <w:t xml:space="preserve"> год составила </w:t>
      </w:r>
      <w:r w:rsidR="001009B4" w:rsidRPr="00BA76A0">
        <w:rPr>
          <w:rFonts w:ascii="Times New Roman" w:eastAsia="Times New Roman" w:hAnsi="Times New Roman" w:cs="Times New Roman"/>
          <w:sz w:val="26"/>
          <w:szCs w:val="26"/>
          <w:lang w:eastAsia="ru-RU"/>
        </w:rPr>
        <w:t>10,34 га,</w:t>
      </w:r>
      <w:r w:rsidR="00265706" w:rsidRPr="00BA76A0">
        <w:rPr>
          <w:rFonts w:ascii="Times New Roman" w:eastAsia="Times New Roman" w:hAnsi="Times New Roman" w:cs="Times New Roman"/>
          <w:sz w:val="26"/>
          <w:szCs w:val="26"/>
          <w:lang w:eastAsia="ru-RU"/>
        </w:rPr>
        <w:t xml:space="preserve"> (в прошлом году 3,64 га), </w:t>
      </w:r>
      <w:r w:rsidR="001009B4" w:rsidRPr="00BA76A0">
        <w:rPr>
          <w:rFonts w:ascii="Times New Roman" w:eastAsia="Times New Roman" w:hAnsi="Times New Roman" w:cs="Times New Roman"/>
          <w:sz w:val="26"/>
          <w:szCs w:val="26"/>
          <w:lang w:eastAsia="ru-RU"/>
        </w:rPr>
        <w:t>что выше 2024</w:t>
      </w:r>
      <w:r w:rsidRPr="00BA76A0">
        <w:rPr>
          <w:rFonts w:ascii="Times New Roman" w:eastAsia="Times New Roman" w:hAnsi="Times New Roman" w:cs="Times New Roman"/>
          <w:sz w:val="26"/>
          <w:szCs w:val="26"/>
          <w:lang w:eastAsia="ru-RU"/>
        </w:rPr>
        <w:t xml:space="preserve"> года на </w:t>
      </w:r>
      <w:r w:rsidR="001009B4" w:rsidRPr="00BA76A0">
        <w:rPr>
          <w:rFonts w:ascii="Times New Roman" w:eastAsia="Times New Roman" w:hAnsi="Times New Roman" w:cs="Times New Roman"/>
          <w:sz w:val="26"/>
          <w:szCs w:val="26"/>
          <w:lang w:eastAsia="ru-RU"/>
        </w:rPr>
        <w:t>284</w:t>
      </w:r>
      <w:r w:rsidRPr="00BA76A0">
        <w:rPr>
          <w:rFonts w:ascii="Times New Roman" w:eastAsia="Times New Roman" w:hAnsi="Times New Roman" w:cs="Times New Roman"/>
          <w:sz w:val="26"/>
          <w:szCs w:val="26"/>
          <w:lang w:eastAsia="ru-RU"/>
        </w:rPr>
        <w:t xml:space="preserve"> %.</w:t>
      </w:r>
    </w:p>
    <w:p w:rsidR="002108C4" w:rsidRPr="00BA76A0" w:rsidRDefault="002108C4" w:rsidP="00FA1AC5">
      <w:pPr>
        <w:spacing w:after="0" w:line="360" w:lineRule="auto"/>
        <w:contextualSpacing/>
        <w:jc w:val="both"/>
        <w:rPr>
          <w:rStyle w:val="FontStyle14"/>
          <w:rFonts w:ascii="Times New Roman" w:hAnsi="Times New Roman" w:cs="Times New Roman"/>
          <w:sz w:val="26"/>
          <w:szCs w:val="26"/>
        </w:rPr>
      </w:pPr>
    </w:p>
    <w:p w:rsidR="00440112" w:rsidRPr="00BA76A0" w:rsidRDefault="00440112" w:rsidP="00265706">
      <w:pPr>
        <w:spacing w:after="0" w:line="360" w:lineRule="auto"/>
        <w:contextualSpacing/>
        <w:jc w:val="center"/>
        <w:rPr>
          <w:rStyle w:val="FontStyle14"/>
          <w:rFonts w:ascii="Times New Roman" w:hAnsi="Times New Roman" w:cs="Times New Roman"/>
          <w:sz w:val="26"/>
          <w:szCs w:val="26"/>
        </w:rPr>
      </w:pPr>
      <w:r w:rsidRPr="00BA76A0">
        <w:rPr>
          <w:rStyle w:val="FontStyle14"/>
          <w:rFonts w:ascii="Times New Roman" w:hAnsi="Times New Roman" w:cs="Times New Roman"/>
          <w:sz w:val="26"/>
          <w:szCs w:val="26"/>
          <w:lang w:val="en-US"/>
        </w:rPr>
        <w:t>VII</w:t>
      </w:r>
      <w:r w:rsidR="009A58E3" w:rsidRPr="00BA76A0">
        <w:rPr>
          <w:rStyle w:val="FontStyle14"/>
          <w:rFonts w:ascii="Times New Roman" w:hAnsi="Times New Roman" w:cs="Times New Roman"/>
          <w:sz w:val="26"/>
          <w:szCs w:val="26"/>
          <w:lang w:val="en-US"/>
        </w:rPr>
        <w:t>I</w:t>
      </w:r>
      <w:r w:rsidRPr="00BA76A0">
        <w:rPr>
          <w:rStyle w:val="FontStyle14"/>
          <w:rFonts w:ascii="Times New Roman" w:hAnsi="Times New Roman" w:cs="Times New Roman"/>
          <w:sz w:val="26"/>
          <w:szCs w:val="26"/>
        </w:rPr>
        <w:t>.Жилищно-коммунальное хозяйство</w:t>
      </w:r>
    </w:p>
    <w:p w:rsidR="0040685F" w:rsidRPr="00BA76A0" w:rsidRDefault="0040685F" w:rsidP="00FA1AC5">
      <w:pPr>
        <w:pStyle w:val="Style28"/>
        <w:widowControl/>
        <w:spacing w:line="360" w:lineRule="auto"/>
        <w:ind w:firstLine="709"/>
        <w:contextualSpacing/>
        <w:rPr>
          <w:color w:val="000000"/>
          <w:sz w:val="26"/>
          <w:szCs w:val="26"/>
        </w:rPr>
      </w:pPr>
      <w:r w:rsidRPr="00BA76A0">
        <w:rPr>
          <w:rStyle w:val="FontStyle60"/>
          <w:color w:val="000000"/>
        </w:rPr>
        <w:t xml:space="preserve">Услуги ЖКХ оказывают два муниципальных предприятия: «Жилищно-коммунальное хозяйство» и «Коммунсервис». </w:t>
      </w:r>
      <w:r w:rsidRPr="00BA76A0">
        <w:rPr>
          <w:color w:val="000000"/>
          <w:sz w:val="26"/>
          <w:szCs w:val="26"/>
        </w:rPr>
        <w:t>Предприятия занимаются выполнением следующих видов услуг: водоснабжение, теплоснабжение, водоотведение и очистка сточных вод; вывоз жидких бытовых отходов; услуги коммунальной бани; услуги ярмарки; благоустройство; услуги техники; обслуживание жилого фонда.</w:t>
      </w:r>
    </w:p>
    <w:p w:rsidR="0040685F" w:rsidRPr="00BA76A0" w:rsidRDefault="0040685F" w:rsidP="00FA1AC5">
      <w:pPr>
        <w:pStyle w:val="a4"/>
        <w:spacing w:line="360" w:lineRule="auto"/>
        <w:ind w:firstLine="709"/>
        <w:contextualSpacing/>
        <w:jc w:val="both"/>
        <w:rPr>
          <w:rStyle w:val="FontStyle48"/>
        </w:rPr>
      </w:pPr>
      <w:r w:rsidRPr="00BA76A0">
        <w:rPr>
          <w:sz w:val="26"/>
          <w:szCs w:val="26"/>
        </w:rPr>
        <w:t>Предприятиями проведены капитальные и текущие ремонты систем теплоснабжения, водоотведения, водоснабжения.</w:t>
      </w:r>
      <w:r w:rsidR="008244CC" w:rsidRPr="00BA76A0">
        <w:rPr>
          <w:sz w:val="26"/>
          <w:szCs w:val="26"/>
        </w:rPr>
        <w:t> </w:t>
      </w:r>
      <w:r w:rsidRPr="00BA76A0">
        <w:rPr>
          <w:sz w:val="26"/>
          <w:szCs w:val="26"/>
        </w:rPr>
        <w:t>К системам водоснабжения подключены новые объекты (жилищный фонд).</w:t>
      </w:r>
      <w:r w:rsidR="008244CC" w:rsidRPr="00BA76A0">
        <w:rPr>
          <w:sz w:val="26"/>
          <w:szCs w:val="26"/>
        </w:rPr>
        <w:t xml:space="preserve"> </w:t>
      </w:r>
      <w:r w:rsidRPr="00BA76A0">
        <w:rPr>
          <w:color w:val="000000" w:themeColor="text1"/>
          <w:sz w:val="26"/>
          <w:szCs w:val="26"/>
        </w:rPr>
        <w:t>Для поддержания стабильной работы предприятиям была выделена субсидия в размере 24,8 млн. рублей.</w:t>
      </w:r>
    </w:p>
    <w:p w:rsidR="00DD7D92" w:rsidRPr="00BA76A0" w:rsidRDefault="00DD7D92" w:rsidP="00FA1AC5">
      <w:pPr>
        <w:pStyle w:val="ac"/>
        <w:spacing w:line="360" w:lineRule="auto"/>
        <w:ind w:firstLine="567"/>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Число многоквартирных домов, расположенных на земельных участках, в отношении которых осуществлен государственный </w:t>
      </w:r>
      <w:r w:rsidR="00C25003" w:rsidRPr="00BA76A0">
        <w:rPr>
          <w:rFonts w:ascii="Times New Roman" w:hAnsi="Times New Roman" w:cs="Times New Roman"/>
          <w:sz w:val="26"/>
          <w:szCs w:val="26"/>
        </w:rPr>
        <w:t>кадастровый учет в 2025 году, составляет 278</w:t>
      </w:r>
      <w:r w:rsidRPr="00BA76A0">
        <w:rPr>
          <w:rFonts w:ascii="Times New Roman" w:hAnsi="Times New Roman" w:cs="Times New Roman"/>
          <w:sz w:val="26"/>
          <w:szCs w:val="26"/>
        </w:rPr>
        <w:t xml:space="preserve">. Работа по оформлению земельных участков будет продолжена в текущем году. </w:t>
      </w:r>
    </w:p>
    <w:p w:rsidR="00DD7D92" w:rsidRPr="00BA76A0" w:rsidRDefault="00DD7D92" w:rsidP="00FA1AC5">
      <w:pPr>
        <w:pStyle w:val="a4"/>
        <w:spacing w:line="360" w:lineRule="auto"/>
        <w:ind w:firstLine="709"/>
        <w:contextualSpacing/>
        <w:jc w:val="both"/>
        <w:rPr>
          <w:rStyle w:val="FontStyle48"/>
        </w:rPr>
      </w:pPr>
    </w:p>
    <w:p w:rsidR="00440112" w:rsidRPr="00BA76A0" w:rsidRDefault="00AA6E73" w:rsidP="00265706">
      <w:pPr>
        <w:spacing w:after="0" w:line="360" w:lineRule="auto"/>
        <w:contextualSpacing/>
        <w:jc w:val="center"/>
        <w:rPr>
          <w:rStyle w:val="FontStyle17"/>
          <w:b/>
        </w:rPr>
      </w:pPr>
      <w:r w:rsidRPr="00BA76A0">
        <w:rPr>
          <w:rFonts w:ascii="Times New Roman" w:hAnsi="Times New Roman" w:cs="Times New Roman"/>
          <w:b/>
          <w:sz w:val="26"/>
          <w:szCs w:val="26"/>
          <w:lang w:val="en-US"/>
        </w:rPr>
        <w:t>IX</w:t>
      </w:r>
      <w:r w:rsidR="00440112" w:rsidRPr="00BA76A0">
        <w:rPr>
          <w:rStyle w:val="FontStyle17"/>
          <w:b/>
        </w:rPr>
        <w:t>.Организация муниципального управления</w:t>
      </w:r>
    </w:p>
    <w:p w:rsidR="00BC10B6" w:rsidRPr="00BA76A0" w:rsidRDefault="00BC10B6" w:rsidP="00FA1AC5">
      <w:pPr>
        <w:spacing w:after="0" w:line="360" w:lineRule="auto"/>
        <w:ind w:firstLine="709"/>
        <w:contextualSpacing/>
        <w:jc w:val="both"/>
        <w:rPr>
          <w:rFonts w:ascii="Times New Roman" w:eastAsia="Times New Roman" w:hAnsi="Times New Roman" w:cs="Times New Roman"/>
          <w:sz w:val="26"/>
          <w:szCs w:val="26"/>
          <w:lang w:eastAsia="ru-RU"/>
        </w:rPr>
      </w:pPr>
      <w:r w:rsidRPr="00BA76A0">
        <w:rPr>
          <w:rFonts w:ascii="Times New Roman" w:eastAsia="Times New Roman" w:hAnsi="Times New Roman" w:cs="Times New Roman"/>
          <w:sz w:val="26"/>
          <w:szCs w:val="26"/>
          <w:lang w:eastAsia="ru-RU"/>
        </w:rPr>
        <w:t xml:space="preserve">Бюджет муниципального округа является главным инструментом проведения социальной, финансовой и инвестиционной политики округа.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В 2025 году в бюджет округа поступило доходов 1 209,8 млн. руб., что составило 94,3% к уточненным плановым назначениям и 115,3% к факту 2024 года. </w:t>
      </w:r>
      <w:r w:rsidRPr="00BA76A0">
        <w:rPr>
          <w:rFonts w:ascii="Times New Roman" w:hAnsi="Times New Roman" w:cs="Times New Roman"/>
          <w:bCs/>
          <w:sz w:val="26"/>
          <w:szCs w:val="26"/>
        </w:rPr>
        <w:t>Доходная часть бюджета исполнена не в полном объеме в связи с сокращением лимитов по межбюджетным трансфертам.</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Структура доходной части бюджета сложилась следующим образом: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sym w:font="Symbol" w:char="F0B7"/>
      </w:r>
      <w:r w:rsidRPr="00BA76A0">
        <w:rPr>
          <w:rFonts w:ascii="Times New Roman" w:hAnsi="Times New Roman" w:cs="Times New Roman"/>
          <w:sz w:val="26"/>
          <w:szCs w:val="26"/>
        </w:rPr>
        <w:t xml:space="preserve"> безвозмездные поступления – 971,3 млн. руб. (80,3% в общей сумме доходов);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sym w:font="Symbol" w:char="F0B7"/>
      </w:r>
      <w:r w:rsidRPr="00BA76A0">
        <w:rPr>
          <w:rFonts w:ascii="Times New Roman" w:hAnsi="Times New Roman" w:cs="Times New Roman"/>
          <w:sz w:val="26"/>
          <w:szCs w:val="26"/>
        </w:rPr>
        <w:t xml:space="preserve"> налоговые и неналоговые доходы 238,5 млн. руб. (19,7% в общей сумме доходов).</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lastRenderedPageBreak/>
        <w:t>Уточненный годовой план по налоговым и неналоговым доходам выполнен на 100 %, темп роста к предыдущему году составил 114,4%.</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Основными источниками поступления собственных доходов являются налоговые поступления, наибольшую часть из которых составляет налог на доходы физических лиц. За 2025 год его поступило 170,9 млн. руб., это 112,5% к факту предыдущего года.</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Налоги на совокупный доход получены в сумме 24,2 млн. руб.</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Акцизы на нефтепродукты поступили в объеме 15,3 млн. руб.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Налоги на имущество физических лиц поступили в объеме 10,4 млн. руб.</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Государственная пошлина поступила в объеме 3,7 млн. руб. </w:t>
      </w:r>
    </w:p>
    <w:p w:rsidR="00BC10B6" w:rsidRPr="00BA76A0" w:rsidRDefault="00BC10B6" w:rsidP="00FA1AC5">
      <w:pPr>
        <w:spacing w:after="0" w:line="360" w:lineRule="auto"/>
        <w:ind w:firstLine="709"/>
        <w:contextualSpacing/>
        <w:jc w:val="both"/>
        <w:rPr>
          <w:rFonts w:ascii="Times New Roman" w:hAnsi="Times New Roman" w:cs="Times New Roman"/>
          <w:kern w:val="2"/>
          <w:sz w:val="26"/>
          <w:szCs w:val="26"/>
        </w:rPr>
      </w:pPr>
      <w:r w:rsidRPr="00BA76A0">
        <w:rPr>
          <w:rFonts w:ascii="Times New Roman" w:hAnsi="Times New Roman" w:cs="Times New Roman"/>
          <w:kern w:val="2"/>
          <w:sz w:val="26"/>
          <w:szCs w:val="26"/>
        </w:rPr>
        <w:t>Неналоговые доходы занимают незначительную часть в бюджетных поступлениях – 14 млн. руб.</w:t>
      </w:r>
    </w:p>
    <w:p w:rsidR="00BC10B6" w:rsidRPr="00BA76A0" w:rsidRDefault="00BC10B6" w:rsidP="00FA1AC5">
      <w:pPr>
        <w:spacing w:after="0" w:line="360" w:lineRule="auto"/>
        <w:ind w:firstLine="709"/>
        <w:contextualSpacing/>
        <w:jc w:val="both"/>
        <w:rPr>
          <w:rFonts w:ascii="Times New Roman" w:hAnsi="Times New Roman" w:cs="Times New Roman"/>
          <w:kern w:val="2"/>
          <w:sz w:val="26"/>
          <w:szCs w:val="26"/>
        </w:rPr>
      </w:pPr>
      <w:r w:rsidRPr="00BA76A0">
        <w:rPr>
          <w:rFonts w:ascii="Times New Roman" w:hAnsi="Times New Roman" w:cs="Times New Roman"/>
          <w:kern w:val="2"/>
          <w:sz w:val="26"/>
          <w:szCs w:val="26"/>
        </w:rPr>
        <w:t xml:space="preserve">     Безвозмездные поступления в бюджет Шарангского округа в 2025 году составили 971,3 млн. руб., это 92,9% к плану и 115,5% к факту 2024 года (841,1 млн. руб.).</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Дотации получены в сумме 315,2 млн. руб., субсидии на софинансирование социально-значимых расходов – 266,6 млн. руб., субвенции на исполнение передаваемых полномочий – 358,5 млн. руб., иные межбюджетные трансферты – 31,6 млн. руб.</w:t>
      </w:r>
    </w:p>
    <w:p w:rsidR="00BC10B6" w:rsidRPr="00BA76A0" w:rsidRDefault="003D2A35" w:rsidP="00FA1AC5">
      <w:pPr>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BC10B6" w:rsidRPr="00BA76A0">
        <w:rPr>
          <w:rFonts w:ascii="Times New Roman" w:hAnsi="Times New Roman" w:cs="Times New Roman"/>
          <w:sz w:val="26"/>
          <w:szCs w:val="26"/>
        </w:rPr>
        <w:t>Расходы бюджета округа в 2025 году исполнены в объеме 1 226,0 млн. руб., что превышает уровень предыдущего года на 14,1%.</w:t>
      </w:r>
    </w:p>
    <w:p w:rsidR="00BC10B6" w:rsidRPr="00BA76A0" w:rsidRDefault="003D2A35" w:rsidP="00FA1AC5">
      <w:pPr>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BC10B6" w:rsidRPr="00BA76A0">
        <w:rPr>
          <w:rFonts w:ascii="Times New Roman" w:hAnsi="Times New Roman" w:cs="Times New Roman"/>
          <w:sz w:val="26"/>
          <w:szCs w:val="26"/>
        </w:rPr>
        <w:t>Бюджет исполнен с дефицитом 16,2 млн. руб., источниками покрытия которого являются остатки нецелевых средств, сложившиеся по состоянию на 1 января 2025 года.</w:t>
      </w:r>
    </w:p>
    <w:p w:rsidR="00BC10B6" w:rsidRPr="00BA76A0" w:rsidRDefault="00BC10B6" w:rsidP="00FA1AC5">
      <w:pPr>
        <w:spacing w:after="0" w:line="360" w:lineRule="auto"/>
        <w:ind w:firstLine="709"/>
        <w:contextualSpacing/>
        <w:jc w:val="both"/>
        <w:rPr>
          <w:rFonts w:ascii="Times New Roman" w:eastAsia="Times New Roman" w:hAnsi="Times New Roman" w:cs="Times New Roman"/>
          <w:sz w:val="26"/>
          <w:szCs w:val="26"/>
          <w:lang w:eastAsia="ru-RU"/>
        </w:rPr>
      </w:pPr>
      <w:r w:rsidRPr="00BA76A0">
        <w:rPr>
          <w:rFonts w:ascii="Times New Roman" w:eastAsia="Times New Roman" w:hAnsi="Times New Roman" w:cs="Times New Roman"/>
          <w:sz w:val="26"/>
          <w:szCs w:val="26"/>
          <w:lang w:eastAsia="ru-RU"/>
        </w:rPr>
        <w:t>Для обеспечения роста доходов бюджета администрация продолжает взаимодействие с налогоплательщиками по вопросам сокращения задолженности по налоговым платежам и легализации заработной платы. За 2025 год проведено    12 заседаний межведомственной комиссии. По итогам работы данной комиссии было взыскано с налогоплательщиков более 15 млн.рублей.</w:t>
      </w:r>
    </w:p>
    <w:p w:rsidR="00BC10B6" w:rsidRPr="00BA76A0" w:rsidRDefault="003D2A35" w:rsidP="00FA1AC5">
      <w:pPr>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В 2025</w:t>
      </w:r>
      <w:r w:rsidR="00BC10B6" w:rsidRPr="00BA76A0">
        <w:rPr>
          <w:rFonts w:ascii="Times New Roman" w:hAnsi="Times New Roman" w:cs="Times New Roman"/>
          <w:sz w:val="26"/>
          <w:szCs w:val="26"/>
        </w:rPr>
        <w:t xml:space="preserve"> году в бюджете Шарангского муниципального округа расходы на реализацию мероприятий по муниципальным программам составили 1111,1 млн. руб. (90,6 % в общем объеме расходов).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lastRenderedPageBreak/>
        <w:t xml:space="preserve">     Расходы по отраслям социальной сферы составили 693,3 млн. руб. или 56,5% от всех произведенных расходов.</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На поддержку реального сектора экономики из бюджета направлено 126,1 млн. руб., 10,3% всех произведенных расходов, в том числе: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-сельское хозяйство в сумме 73,6 млн. руб.</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-по отрасли «Дорожное хозяйство» в отчетном году произведены расходы в сумме 37,3 млн. руб.</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-по отрасли «Транспорт» произведены расходы в сумме 14,3 млн. руб.,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Расходы на «Жилищно-коммунальное хозяйство» составили 280,1 млн. руб.,22,8% всех произведенных расходов.</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«Общегосударственные вопросы» профинансированы в сумме 98,8 млн. руб. </w:t>
      </w:r>
    </w:p>
    <w:p w:rsidR="00BC10B6" w:rsidRPr="00BA76A0" w:rsidRDefault="00BC10B6"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По разделу «Национальная безопасность и правоохранительная деятельность» произведены расходы в сумме 18 млн. руб.</w:t>
      </w:r>
    </w:p>
    <w:p w:rsidR="00317FBE" w:rsidRPr="00BA76A0" w:rsidRDefault="00317FBE"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Динамика удовлетворенности нас</w:t>
      </w:r>
      <w:r w:rsidR="00AB0233" w:rsidRPr="00BA76A0">
        <w:rPr>
          <w:rFonts w:ascii="Times New Roman" w:hAnsi="Times New Roman" w:cs="Times New Roman"/>
          <w:sz w:val="26"/>
          <w:szCs w:val="26"/>
        </w:rPr>
        <w:t>еления деятельности ОМСУ за 2025</w:t>
      </w:r>
      <w:r w:rsidRPr="00BA76A0">
        <w:rPr>
          <w:rFonts w:ascii="Times New Roman" w:hAnsi="Times New Roman" w:cs="Times New Roman"/>
          <w:sz w:val="26"/>
          <w:szCs w:val="26"/>
        </w:rPr>
        <w:t xml:space="preserve"> год:</w:t>
      </w:r>
    </w:p>
    <w:p w:rsidR="0022302F" w:rsidRPr="00BA76A0" w:rsidRDefault="0022302F" w:rsidP="00FA1AC5">
      <w:pPr>
        <w:spacing w:after="0" w:line="360" w:lineRule="auto"/>
        <w:ind w:firstLineChars="100" w:firstLine="260"/>
        <w:contextualSpacing/>
        <w:jc w:val="both"/>
        <w:rPr>
          <w:rFonts w:ascii="Times New Roman" w:eastAsia="Times New Roman" w:hAnsi="Times New Roman" w:cs="Times New Roman"/>
          <w:sz w:val="26"/>
          <w:szCs w:val="26"/>
          <w:lang w:eastAsia="ru-RU"/>
        </w:rPr>
      </w:pPr>
      <w:r w:rsidRPr="00BA76A0">
        <w:rPr>
          <w:rFonts w:ascii="Times New Roman" w:eastAsia="Times New Roman" w:hAnsi="Times New Roman" w:cs="Times New Roman"/>
          <w:sz w:val="26"/>
          <w:szCs w:val="26"/>
          <w:lang w:eastAsia="ru-RU"/>
        </w:rPr>
        <w:t xml:space="preserve">      - Удовлетворенность населения деятельностью органов местного самоуправления Шарангского муниципального - 91,42 %</w:t>
      </w:r>
    </w:p>
    <w:p w:rsidR="00317FBE" w:rsidRPr="00BA76A0" w:rsidRDefault="0022302F" w:rsidP="00FA1AC5">
      <w:pPr>
        <w:spacing w:after="0" w:line="360" w:lineRule="auto"/>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w:t>
      </w:r>
      <w:r w:rsidR="00317FBE" w:rsidRPr="00BA76A0">
        <w:rPr>
          <w:rFonts w:ascii="Times New Roman" w:hAnsi="Times New Roman" w:cs="Times New Roman"/>
          <w:sz w:val="26"/>
          <w:szCs w:val="26"/>
        </w:rPr>
        <w:t>- Удовлетворенность населения Шарангского м.о.</w:t>
      </w:r>
      <w:r w:rsidR="00AB0233" w:rsidRPr="00BA76A0">
        <w:rPr>
          <w:rFonts w:ascii="Times New Roman" w:hAnsi="Times New Roman" w:cs="Times New Roman"/>
          <w:sz w:val="26"/>
          <w:szCs w:val="26"/>
        </w:rPr>
        <w:t xml:space="preserve"> транспортным обслуживанием – 100</w:t>
      </w:r>
      <w:r w:rsidR="00317FBE" w:rsidRPr="00BA76A0">
        <w:rPr>
          <w:rFonts w:ascii="Times New Roman" w:hAnsi="Times New Roman" w:cs="Times New Roman"/>
          <w:sz w:val="26"/>
          <w:szCs w:val="26"/>
        </w:rPr>
        <w:t>%;</w:t>
      </w:r>
    </w:p>
    <w:p w:rsidR="00317FBE" w:rsidRPr="00BA76A0" w:rsidRDefault="003956F2"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Удовлетворенность населения Нижегородской области уровнем организации теплоснабжения, </w:t>
      </w:r>
      <w:r w:rsidR="00AB0233" w:rsidRPr="00BA76A0">
        <w:rPr>
          <w:rFonts w:ascii="Times New Roman" w:hAnsi="Times New Roman" w:cs="Times New Roman"/>
          <w:sz w:val="26"/>
          <w:szCs w:val="26"/>
        </w:rPr>
        <w:t>97</w:t>
      </w:r>
      <w:r w:rsidR="00C75890" w:rsidRPr="00BA76A0">
        <w:rPr>
          <w:rFonts w:ascii="Times New Roman" w:hAnsi="Times New Roman" w:cs="Times New Roman"/>
          <w:sz w:val="26"/>
          <w:szCs w:val="26"/>
        </w:rPr>
        <w:t xml:space="preserve"> </w:t>
      </w:r>
      <w:r w:rsidRPr="00BA76A0">
        <w:rPr>
          <w:rFonts w:ascii="Times New Roman" w:hAnsi="Times New Roman" w:cs="Times New Roman"/>
          <w:sz w:val="26"/>
          <w:szCs w:val="26"/>
        </w:rPr>
        <w:t>%</w:t>
      </w:r>
      <w:r w:rsidR="00C75890" w:rsidRPr="00BA76A0">
        <w:rPr>
          <w:rFonts w:ascii="Times New Roman" w:hAnsi="Times New Roman" w:cs="Times New Roman"/>
          <w:sz w:val="26"/>
          <w:szCs w:val="26"/>
        </w:rPr>
        <w:t>;</w:t>
      </w:r>
    </w:p>
    <w:p w:rsidR="00C75890" w:rsidRPr="00BA76A0" w:rsidRDefault="00C75890"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Удовлетворенность населения Нижегородской области</w:t>
      </w:r>
      <w:r w:rsidR="00AB0233" w:rsidRPr="00BA76A0">
        <w:rPr>
          <w:rFonts w:ascii="Times New Roman" w:hAnsi="Times New Roman" w:cs="Times New Roman"/>
          <w:sz w:val="26"/>
          <w:szCs w:val="26"/>
        </w:rPr>
        <w:t xml:space="preserve"> организацией водоснабжения, 100 </w:t>
      </w:r>
      <w:r w:rsidRPr="00BA76A0">
        <w:rPr>
          <w:rFonts w:ascii="Times New Roman" w:hAnsi="Times New Roman" w:cs="Times New Roman"/>
          <w:sz w:val="26"/>
          <w:szCs w:val="26"/>
        </w:rPr>
        <w:t>%;</w:t>
      </w:r>
    </w:p>
    <w:p w:rsidR="00C75890" w:rsidRPr="00BA76A0" w:rsidRDefault="00C75890" w:rsidP="00FA1AC5">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Удовлетворенность населения Нижегородской области </w:t>
      </w:r>
      <w:r w:rsidR="00AB0233" w:rsidRPr="00BA76A0">
        <w:rPr>
          <w:rFonts w:ascii="Times New Roman" w:hAnsi="Times New Roman" w:cs="Times New Roman"/>
          <w:sz w:val="26"/>
          <w:szCs w:val="26"/>
        </w:rPr>
        <w:t>организацией электроснабжения,100</w:t>
      </w:r>
      <w:r w:rsidRPr="00BA76A0">
        <w:rPr>
          <w:rFonts w:ascii="Times New Roman" w:hAnsi="Times New Roman" w:cs="Times New Roman"/>
          <w:sz w:val="26"/>
          <w:szCs w:val="26"/>
        </w:rPr>
        <w:t xml:space="preserve"> %.</w:t>
      </w:r>
    </w:p>
    <w:p w:rsidR="00440112" w:rsidRPr="00BA76A0" w:rsidRDefault="00440112" w:rsidP="00BA76A0">
      <w:pPr>
        <w:spacing w:after="0" w:line="360" w:lineRule="auto"/>
        <w:contextualSpacing/>
        <w:jc w:val="center"/>
        <w:rPr>
          <w:rFonts w:ascii="Times New Roman" w:hAnsi="Times New Roman" w:cs="Times New Roman"/>
          <w:b/>
          <w:sz w:val="26"/>
          <w:szCs w:val="26"/>
        </w:rPr>
      </w:pPr>
      <w:r w:rsidRPr="00BA76A0">
        <w:rPr>
          <w:rFonts w:ascii="Times New Roman" w:hAnsi="Times New Roman" w:cs="Times New Roman"/>
          <w:b/>
          <w:sz w:val="26"/>
          <w:szCs w:val="26"/>
          <w:lang w:val="en-US"/>
        </w:rPr>
        <w:t>X</w:t>
      </w:r>
      <w:r w:rsidRPr="00BA76A0">
        <w:rPr>
          <w:rFonts w:ascii="Times New Roman" w:hAnsi="Times New Roman" w:cs="Times New Roman"/>
          <w:b/>
          <w:sz w:val="26"/>
          <w:szCs w:val="26"/>
        </w:rPr>
        <w:t>.Энергосбережение и повышение энергетической эффективности</w:t>
      </w:r>
    </w:p>
    <w:p w:rsidR="0051462D" w:rsidRDefault="00440112" w:rsidP="00FA1AC5">
      <w:pPr>
        <w:spacing w:after="0" w:line="360" w:lineRule="auto"/>
        <w:ind w:firstLine="567"/>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На территории </w:t>
      </w:r>
      <w:r w:rsidR="00FB0E72" w:rsidRPr="00BA76A0">
        <w:rPr>
          <w:rFonts w:ascii="Times New Roman" w:hAnsi="Times New Roman" w:cs="Times New Roman"/>
          <w:sz w:val="26"/>
          <w:szCs w:val="26"/>
        </w:rPr>
        <w:t>округа</w:t>
      </w:r>
      <w:r w:rsidRPr="00BA76A0">
        <w:rPr>
          <w:rFonts w:ascii="Times New Roman" w:hAnsi="Times New Roman" w:cs="Times New Roman"/>
          <w:sz w:val="26"/>
          <w:szCs w:val="26"/>
        </w:rPr>
        <w:t xml:space="preserve"> реализуется муниципальная целевая программа «Энергосбережение и повышение энергетической эффективности бюджетного сектора Шарангского муниципального района Нижего</w:t>
      </w:r>
      <w:r w:rsidR="00A6083E" w:rsidRPr="00BA76A0">
        <w:rPr>
          <w:rFonts w:ascii="Times New Roman" w:hAnsi="Times New Roman" w:cs="Times New Roman"/>
          <w:sz w:val="26"/>
          <w:szCs w:val="26"/>
        </w:rPr>
        <w:t>родской области</w:t>
      </w:r>
      <w:r w:rsidRPr="00BA76A0">
        <w:rPr>
          <w:rFonts w:ascii="Times New Roman" w:hAnsi="Times New Roman" w:cs="Times New Roman"/>
          <w:sz w:val="26"/>
          <w:szCs w:val="26"/>
        </w:rPr>
        <w:t xml:space="preserve">. Основной целью программы является повышение энергетической эффективности органов исполнительной власти и бюджетных учреждений района, сокращение затрат </w:t>
      </w:r>
      <w:r w:rsidRPr="00BA76A0">
        <w:rPr>
          <w:rFonts w:ascii="Times New Roman" w:hAnsi="Times New Roman" w:cs="Times New Roman"/>
          <w:sz w:val="26"/>
          <w:szCs w:val="26"/>
        </w:rPr>
        <w:lastRenderedPageBreak/>
        <w:t>районного бюджета на обеспечение органов исполнительной власти и учреждений бюджетной сферы всеми видами энергетических ресурсов.</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Электроснабжение Шарангского муниципального округа осуществляет публичное акционерное общество «ТНС энерго Нижний Новгород».</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Ранее</w:t>
      </w:r>
      <w:r w:rsidRPr="0051462D">
        <w:rPr>
          <w:rFonts w:ascii="Times New Roman" w:hAnsi="Times New Roman" w:cs="Times New Roman"/>
          <w:sz w:val="26"/>
          <w:szCs w:val="26"/>
        </w:rPr>
        <w:t xml:space="preserve"> на территории округа </w:t>
      </w:r>
      <w:r>
        <w:rPr>
          <w:rFonts w:ascii="Times New Roman" w:hAnsi="Times New Roman" w:cs="Times New Roman"/>
          <w:sz w:val="26"/>
          <w:szCs w:val="26"/>
        </w:rPr>
        <w:t xml:space="preserve">были </w:t>
      </w:r>
      <w:r w:rsidRPr="0051462D">
        <w:rPr>
          <w:rFonts w:ascii="Times New Roman" w:hAnsi="Times New Roman" w:cs="Times New Roman"/>
          <w:sz w:val="26"/>
          <w:szCs w:val="26"/>
        </w:rPr>
        <w:t xml:space="preserve">реализованы мероприятия в рамках национального проекта «Жилье и городская среда по реализации государственной программы «Формирование современной городской среды на территории Нижегородской области» и подпрограммы «Комплексное развитие сельских территорий Нижегородской области» государственной программы «Развитие агропромышленного комплекса Нижегородской области». В следствии реализации данных мероприятий увеличилась площадь и потребление электрической энергии в системе уличного освещения. </w:t>
      </w:r>
    </w:p>
    <w:p w:rsidR="0051462D" w:rsidRPr="0051462D" w:rsidRDefault="0051462D" w:rsidP="0051462D">
      <w:pPr>
        <w:pStyle w:val="ConsPlusNormal"/>
        <w:spacing w:line="360" w:lineRule="auto"/>
        <w:contextualSpacing/>
        <w:jc w:val="both"/>
        <w:rPr>
          <w:sz w:val="26"/>
          <w:szCs w:val="26"/>
        </w:rPr>
      </w:pPr>
      <w:r w:rsidRPr="0051462D">
        <w:rPr>
          <w:rFonts w:ascii="Times New Roman" w:hAnsi="Times New Roman" w:cs="Times New Roman"/>
          <w:sz w:val="26"/>
          <w:szCs w:val="26"/>
        </w:rPr>
        <w:t>Основной целью данной программы является, в том числе снижение потребления уличного освещения за счет выполнения комплекса работ по модернизации уличного освещения в Шарангском муниципальном округе, замена существующего устаревшего освещения на высокоэкономичное светодиодное.</w:t>
      </w:r>
    </w:p>
    <w:p w:rsidR="0051462D" w:rsidRPr="0051462D" w:rsidRDefault="0051462D" w:rsidP="0051462D">
      <w:pPr>
        <w:pStyle w:val="ConsPlusNormal"/>
        <w:spacing w:line="360" w:lineRule="auto"/>
        <w:ind w:firstLine="567"/>
        <w:contextualSpacing/>
        <w:jc w:val="both"/>
        <w:rPr>
          <w:rFonts w:ascii="Times New Roman" w:hAnsi="Times New Roman" w:cs="Times New Roman"/>
          <w:sz w:val="26"/>
          <w:szCs w:val="26"/>
        </w:rPr>
      </w:pPr>
      <w:r w:rsidRPr="0051462D">
        <w:rPr>
          <w:rFonts w:ascii="Times New Roman" w:hAnsi="Times New Roman" w:cs="Times New Roman"/>
          <w:sz w:val="26"/>
          <w:szCs w:val="26"/>
        </w:rPr>
        <w:t>В соответствии с установленной целью определены следующие задачи:</w:t>
      </w:r>
    </w:p>
    <w:p w:rsidR="0051462D" w:rsidRPr="0051462D" w:rsidRDefault="0051462D" w:rsidP="0051462D">
      <w:pPr>
        <w:pStyle w:val="ConsPlusNormal"/>
        <w:spacing w:line="360" w:lineRule="auto"/>
        <w:ind w:firstLine="567"/>
        <w:contextualSpacing/>
        <w:jc w:val="both"/>
        <w:rPr>
          <w:rFonts w:ascii="Times New Roman" w:hAnsi="Times New Roman" w:cs="Times New Roman"/>
          <w:sz w:val="26"/>
          <w:szCs w:val="26"/>
        </w:rPr>
      </w:pPr>
      <w:r w:rsidRPr="0051462D">
        <w:rPr>
          <w:rFonts w:ascii="Times New Roman" w:hAnsi="Times New Roman" w:cs="Times New Roman"/>
          <w:sz w:val="26"/>
          <w:szCs w:val="26"/>
        </w:rPr>
        <w:t>- замена существующего устаревшего освещения на высокоэкономичное светодиодное;</w:t>
      </w:r>
    </w:p>
    <w:p w:rsidR="0051462D" w:rsidRPr="0051462D" w:rsidRDefault="0051462D" w:rsidP="0051462D">
      <w:pPr>
        <w:pStyle w:val="ConsPlusNormal"/>
        <w:spacing w:line="360" w:lineRule="auto"/>
        <w:ind w:firstLine="567"/>
        <w:contextualSpacing/>
        <w:jc w:val="both"/>
        <w:rPr>
          <w:rFonts w:ascii="Times New Roman" w:hAnsi="Times New Roman" w:cs="Times New Roman"/>
          <w:sz w:val="26"/>
          <w:szCs w:val="26"/>
        </w:rPr>
      </w:pPr>
      <w:r w:rsidRPr="0051462D">
        <w:rPr>
          <w:rFonts w:ascii="Times New Roman" w:hAnsi="Times New Roman" w:cs="Times New Roman"/>
          <w:sz w:val="26"/>
          <w:szCs w:val="26"/>
        </w:rPr>
        <w:t>-организация учета потребления электроэнергии на обеспечение уличного освещения;</w:t>
      </w:r>
    </w:p>
    <w:p w:rsidR="0051462D" w:rsidRPr="0051462D" w:rsidRDefault="0051462D" w:rsidP="0051462D">
      <w:pPr>
        <w:pStyle w:val="ConsPlusNormal"/>
        <w:spacing w:line="360" w:lineRule="auto"/>
        <w:ind w:firstLine="567"/>
        <w:contextualSpacing/>
        <w:jc w:val="both"/>
        <w:rPr>
          <w:rFonts w:ascii="Times New Roman" w:hAnsi="Times New Roman" w:cs="Times New Roman"/>
          <w:sz w:val="26"/>
          <w:szCs w:val="26"/>
        </w:rPr>
      </w:pPr>
      <w:r w:rsidRPr="0051462D">
        <w:rPr>
          <w:rFonts w:ascii="Times New Roman" w:hAnsi="Times New Roman" w:cs="Times New Roman"/>
          <w:sz w:val="26"/>
          <w:szCs w:val="26"/>
        </w:rPr>
        <w:t>- частичная замена линий уличного освещения;</w:t>
      </w:r>
    </w:p>
    <w:p w:rsidR="0051462D" w:rsidRPr="0051462D" w:rsidRDefault="0051462D" w:rsidP="0051462D">
      <w:pPr>
        <w:pStyle w:val="ConsPlusNormal"/>
        <w:spacing w:line="360" w:lineRule="auto"/>
        <w:ind w:firstLine="567"/>
        <w:contextualSpacing/>
        <w:jc w:val="both"/>
        <w:rPr>
          <w:rFonts w:ascii="Times New Roman" w:hAnsi="Times New Roman" w:cs="Times New Roman"/>
          <w:sz w:val="26"/>
          <w:szCs w:val="26"/>
        </w:rPr>
      </w:pPr>
      <w:r w:rsidRPr="0051462D">
        <w:rPr>
          <w:rFonts w:ascii="Times New Roman" w:hAnsi="Times New Roman" w:cs="Times New Roman"/>
          <w:sz w:val="26"/>
          <w:szCs w:val="26"/>
        </w:rPr>
        <w:t>- замена непригодных к эксплуатации опор уличного освещения.</w:t>
      </w:r>
    </w:p>
    <w:p w:rsidR="0051462D" w:rsidRPr="0051462D" w:rsidRDefault="0051462D" w:rsidP="0051462D">
      <w:pPr>
        <w:pStyle w:val="ConsPlusNormal"/>
        <w:spacing w:line="360" w:lineRule="auto"/>
        <w:ind w:firstLine="567"/>
        <w:contextualSpacing/>
        <w:jc w:val="both"/>
        <w:rPr>
          <w:rFonts w:ascii="Times New Roman" w:hAnsi="Times New Roman" w:cs="Times New Roman"/>
          <w:sz w:val="26"/>
          <w:szCs w:val="26"/>
        </w:rPr>
      </w:pPr>
      <w:r w:rsidRPr="0051462D">
        <w:rPr>
          <w:rFonts w:ascii="Times New Roman" w:hAnsi="Times New Roman" w:cs="Times New Roman"/>
          <w:sz w:val="26"/>
          <w:szCs w:val="26"/>
        </w:rPr>
        <w:t xml:space="preserve">Основную часть жилого сектора Шарангского муниципального округа составляют личные жилые дома и многоквартирные (двух-, трехквартирные) дома, у которых нет общедомового имущества. </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В целях привлечения внимания жителей Шарангского муниципального округа к вопросам по энергосбережению, повышению энергетической эффективности, сокращению потерь энергетических ресурсов, а также в целях повышения культуры энергопотребления среди населения, формирования и проведения энергосберегающей политики, необходимо проводить популяризацию и пропаганду энергосбережения в средствах</w:t>
      </w:r>
      <w:r w:rsidR="00E44745">
        <w:rPr>
          <w:rFonts w:ascii="Times New Roman" w:hAnsi="Times New Roman" w:cs="Times New Roman"/>
          <w:sz w:val="26"/>
          <w:szCs w:val="26"/>
        </w:rPr>
        <w:t xml:space="preserve"> </w:t>
      </w:r>
      <w:r w:rsidRPr="0051462D">
        <w:rPr>
          <w:rFonts w:ascii="Times New Roman" w:hAnsi="Times New Roman" w:cs="Times New Roman"/>
          <w:sz w:val="26"/>
          <w:szCs w:val="26"/>
        </w:rPr>
        <w:t>массовой информации.</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lastRenderedPageBreak/>
        <w:t>Для минимизации потребления в жилом секторе планируются совместно с управляющими (ресурсоснабжающими) организациями следующие мероприятия:</w:t>
      </w:r>
    </w:p>
    <w:p w:rsidR="0051462D" w:rsidRPr="0051462D" w:rsidRDefault="002C2717" w:rsidP="0051462D">
      <w:pPr>
        <w:pStyle w:val="ConsPlusNormal"/>
        <w:spacing w:line="360" w:lineRule="auto"/>
        <w:contextualSpacing/>
        <w:jc w:val="both"/>
        <w:rPr>
          <w:rFonts w:ascii="Times New Roman" w:hAnsi="Times New Roman" w:cs="Times New Roman"/>
          <w:sz w:val="26"/>
          <w:szCs w:val="26"/>
        </w:rPr>
      </w:pPr>
      <w:r>
        <w:rPr>
          <w:rFonts w:ascii="Times New Roman" w:hAnsi="Times New Roman" w:cs="Times New Roman"/>
          <w:sz w:val="26"/>
          <w:szCs w:val="26"/>
        </w:rPr>
        <w:t>- </w:t>
      </w:r>
      <w:r w:rsidR="0051462D" w:rsidRPr="0051462D">
        <w:rPr>
          <w:rFonts w:ascii="Times New Roman" w:hAnsi="Times New Roman" w:cs="Times New Roman"/>
          <w:sz w:val="26"/>
          <w:szCs w:val="26"/>
        </w:rPr>
        <w:t xml:space="preserve">проведение агитационных мероприятий, стимулирующих граждан к установке и поддержанию в рабочем состоянии индивидуальных приборов учета по потреблению энергоресурсов, </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w:t>
      </w:r>
      <w:r w:rsidR="002C2717">
        <w:rPr>
          <w:rFonts w:ascii="Times New Roman" w:hAnsi="Times New Roman" w:cs="Times New Roman"/>
          <w:sz w:val="26"/>
          <w:szCs w:val="26"/>
        </w:rPr>
        <w:t> </w:t>
      </w:r>
      <w:r w:rsidRPr="0051462D">
        <w:rPr>
          <w:rFonts w:ascii="Times New Roman" w:hAnsi="Times New Roman" w:cs="Times New Roman"/>
          <w:sz w:val="26"/>
          <w:szCs w:val="26"/>
        </w:rPr>
        <w:t>информирование граждан в СМИ об изменениях в законодательстве РФ в сфере энергосбережения и повышения энергетической эффективности.</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Управляющими (ресурсоснабжающими) организациями по итогам принятых решений совместно с собственниками жилых помещений МКД и при наличии необходимых финансовых средств возможно проведение следующих мероприятий:</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 обеспечение МКД коллективными (общедомовыми) приборами учета;</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 утепление зданий: подъезды, подвальные и чердачные помещения (замена входных дверей, оконных блоков, утепление кровли и т.п.), восстановление тепловой изоляции внутридомовых трубопроводов;</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 замена ламп на энергоэкономичные.</w:t>
      </w:r>
    </w:p>
    <w:p w:rsidR="0051462D" w:rsidRPr="0051462D" w:rsidRDefault="0051462D" w:rsidP="0051462D">
      <w:pPr>
        <w:pStyle w:val="ConsPlusNormal"/>
        <w:spacing w:line="360" w:lineRule="auto"/>
        <w:contextualSpacing/>
        <w:jc w:val="both"/>
        <w:rPr>
          <w:rFonts w:ascii="Times New Roman" w:hAnsi="Times New Roman" w:cs="Times New Roman"/>
          <w:sz w:val="26"/>
          <w:szCs w:val="26"/>
        </w:rPr>
      </w:pPr>
      <w:r w:rsidRPr="0051462D">
        <w:rPr>
          <w:rFonts w:ascii="Times New Roman" w:hAnsi="Times New Roman" w:cs="Times New Roman"/>
          <w:sz w:val="26"/>
          <w:szCs w:val="26"/>
        </w:rPr>
        <w:t>Финансовое обеспечение мероприятий - средства собственников жилья, корректируемые управляющими организациями и юридическими лицами, согласно действующему законодательству.</w:t>
      </w:r>
    </w:p>
    <w:p w:rsidR="00440112" w:rsidRPr="00BA76A0" w:rsidRDefault="00440112" w:rsidP="00E44745">
      <w:pPr>
        <w:spacing w:after="0" w:line="360" w:lineRule="auto"/>
        <w:ind w:firstLine="567"/>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 В рамках данной программы  для снижения объемов потребления энергоресурсов производились: замена ламп накаливания на энергосберегающие, повышение тепловой защиты зданий на объектах органов исполнительной власти и бюджетных учреждений района. Также   в рамках данной программы для создания системы мониторинга  энергоэффективности проводится энергетическое обследование зданий, энергопотребляющего оборудования. Результатом реализации задач программы будет завершение проведения мероприятий по оснащению зданий, сооружений, строений, используемых для размещения органов исполнительной власти и бюджетных учреждений района, приборами </w:t>
      </w:r>
      <w:r w:rsidR="00AA5705" w:rsidRPr="00BA76A0">
        <w:rPr>
          <w:rFonts w:ascii="Times New Roman" w:hAnsi="Times New Roman" w:cs="Times New Roman"/>
          <w:sz w:val="26"/>
          <w:szCs w:val="26"/>
        </w:rPr>
        <w:t xml:space="preserve">учета энергетических ресурсов  в </w:t>
      </w:r>
      <w:r w:rsidRPr="00BA76A0">
        <w:rPr>
          <w:rFonts w:ascii="Times New Roman" w:hAnsi="Times New Roman" w:cs="Times New Roman"/>
          <w:sz w:val="26"/>
          <w:szCs w:val="26"/>
        </w:rPr>
        <w:t xml:space="preserve"> том числе  ввод установленных приборов учета в эксплуатацию.</w:t>
      </w:r>
    </w:p>
    <w:p w:rsidR="0026376B" w:rsidRPr="00BA76A0" w:rsidRDefault="0026376B" w:rsidP="00FA1AC5">
      <w:pPr>
        <w:spacing w:after="0" w:line="360" w:lineRule="auto"/>
        <w:ind w:firstLine="567"/>
        <w:contextualSpacing/>
        <w:jc w:val="both"/>
        <w:rPr>
          <w:rFonts w:ascii="Times New Roman" w:hAnsi="Times New Roman" w:cs="Times New Roman"/>
          <w:b/>
          <w:bCs/>
          <w:sz w:val="26"/>
          <w:szCs w:val="26"/>
          <w:highlight w:val="yellow"/>
        </w:rPr>
      </w:pPr>
    </w:p>
    <w:p w:rsidR="00E44745" w:rsidRDefault="00E44745" w:rsidP="00FA1AC5">
      <w:pPr>
        <w:spacing w:after="0" w:line="360" w:lineRule="auto"/>
        <w:ind w:firstLine="567"/>
        <w:contextualSpacing/>
        <w:jc w:val="both"/>
        <w:rPr>
          <w:rFonts w:ascii="Times New Roman" w:hAnsi="Times New Roman" w:cs="Times New Roman"/>
          <w:b/>
          <w:bCs/>
          <w:sz w:val="26"/>
          <w:szCs w:val="26"/>
        </w:rPr>
      </w:pPr>
    </w:p>
    <w:p w:rsidR="00440112" w:rsidRPr="00BA76A0" w:rsidRDefault="003034E7" w:rsidP="00FA1AC5">
      <w:pPr>
        <w:spacing w:after="0" w:line="360" w:lineRule="auto"/>
        <w:ind w:firstLine="567"/>
        <w:contextualSpacing/>
        <w:jc w:val="both"/>
        <w:rPr>
          <w:rFonts w:ascii="Times New Roman" w:hAnsi="Times New Roman" w:cs="Times New Roman"/>
          <w:b/>
          <w:bCs/>
          <w:sz w:val="26"/>
          <w:szCs w:val="26"/>
        </w:rPr>
      </w:pPr>
      <w:r w:rsidRPr="00BA76A0">
        <w:rPr>
          <w:rFonts w:ascii="Times New Roman" w:hAnsi="Times New Roman" w:cs="Times New Roman"/>
          <w:b/>
          <w:bCs/>
          <w:sz w:val="26"/>
          <w:szCs w:val="26"/>
        </w:rPr>
        <w:lastRenderedPageBreak/>
        <w:t>XI.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территории Шарангского муниципального округа</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Независимая оценка качества условий оказания услуг организациями, осуществляющими образовательную деятельность, является одной из форм общественного контроля,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Нормативно-методологической базой разработки технологий по сбору и обобщению информации о качестве условий оказания услуг образовательными организациями, осуществляющими образовательную деятельность на территории Шарангского муниципального округа, в целях проведения независимой оценки качества, стали:</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Федеральный закон от 29 декабря 2012 г. № 273-ФЗ "Об образовании в Российской Федерации";</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Постановление Правительства Российской Федерации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lastRenderedPageBreak/>
        <w:t>-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Приказ Минтруда России 344 Н от 31 мая 2018 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84B6C" w:rsidRPr="00BA76A0" w:rsidRDefault="00784B6C" w:rsidP="00784B6C">
      <w:pPr>
        <w:spacing w:after="0" w:line="360" w:lineRule="auto"/>
        <w:contextualSpacing/>
        <w:jc w:val="both"/>
        <w:rPr>
          <w:rFonts w:ascii="Times New Roman" w:eastAsia="Times New Roman" w:hAnsi="Times New Roman" w:cs="Times New Roman"/>
          <w:sz w:val="26"/>
          <w:szCs w:val="26"/>
          <w:lang w:eastAsia="ru-RU"/>
        </w:rPr>
      </w:pPr>
      <w:r w:rsidRPr="00BA76A0">
        <w:rPr>
          <w:rFonts w:ascii="TimesNewRomanPSMT" w:eastAsia="Times New Roman" w:hAnsi="TimesNewRomanPSMT" w:cs="Times New Roman"/>
          <w:color w:val="000000"/>
          <w:sz w:val="26"/>
          <w:szCs w:val="26"/>
          <w:lang w:eastAsia="ru-RU"/>
        </w:rPr>
        <w:t>- Приказ Минтруда России № 675н от 30 октября 2018 г. «Об утверждении Методики выявления и обобщения мнения граждан о качестве условий оказания услуг организациями в сфере культуры, охраны здоровья,</w:t>
      </w:r>
    </w:p>
    <w:p w:rsidR="00784B6C" w:rsidRPr="00BA76A0" w:rsidRDefault="00784B6C" w:rsidP="00784B6C">
      <w:pPr>
        <w:spacing w:after="0" w:line="360" w:lineRule="auto"/>
        <w:ind w:firstLine="708"/>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xml:space="preserve">Результаты сбора, обобщения и анализа информации о качестве условий оказания услуг организациями, осуществляющими образовательную деятельность, позволяют сделать общий вывод о том, что большинство получателей услуг удовлетворены условиями оказания услуг организациями образования на территории Шарангского муниципального округа (средний балл итогового показателя по всем организациям – </w:t>
      </w:r>
      <w:r w:rsidRPr="00BA76A0">
        <w:rPr>
          <w:rFonts w:ascii="TimesNewRomanPS-ItalicMT" w:eastAsia="Times New Roman" w:hAnsi="TimesNewRomanPS-ItalicMT" w:cs="Times New Roman"/>
          <w:i/>
          <w:iCs/>
          <w:color w:val="000000"/>
          <w:sz w:val="26"/>
          <w:szCs w:val="26"/>
          <w:lang w:eastAsia="ru-RU"/>
        </w:rPr>
        <w:t>89,88 балла</w:t>
      </w:r>
      <w:r w:rsidRPr="00BA76A0">
        <w:rPr>
          <w:rFonts w:ascii="TimesNewRomanPSMT" w:eastAsia="Times New Roman" w:hAnsi="TimesNewRomanPSMT" w:cs="Times New Roman"/>
          <w:color w:val="000000"/>
          <w:sz w:val="26"/>
          <w:szCs w:val="26"/>
          <w:lang w:eastAsia="ru-RU"/>
        </w:rPr>
        <w:t>). Высокими оценками были отмечены следующие критерии:</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критерий 1 «Открытость и доступность информации об организации» (</w:t>
      </w:r>
      <w:r w:rsidRPr="00BA76A0">
        <w:rPr>
          <w:rFonts w:ascii="TimesNewRomanPS-ItalicMT" w:eastAsia="Times New Roman" w:hAnsi="TimesNewRomanPS-ItalicMT" w:cs="Times New Roman"/>
          <w:i/>
          <w:iCs/>
          <w:color w:val="000000"/>
          <w:sz w:val="26"/>
          <w:szCs w:val="26"/>
          <w:lang w:eastAsia="ru-RU"/>
        </w:rPr>
        <w:t>98,02 балла</w:t>
      </w:r>
      <w:r w:rsidRPr="00BA76A0">
        <w:rPr>
          <w:rFonts w:ascii="TimesNewRomanPSMT" w:eastAsia="Times New Roman" w:hAnsi="TimesNewRomanPSMT" w:cs="Times New Roman"/>
          <w:color w:val="000000"/>
          <w:sz w:val="26"/>
          <w:szCs w:val="26"/>
          <w:lang w:eastAsia="ru-RU"/>
        </w:rPr>
        <w:t>);</w:t>
      </w:r>
    </w:p>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критерий 2 «Комфортность условий предоставления услуг» (</w:t>
      </w:r>
      <w:r w:rsidRPr="00BA76A0">
        <w:rPr>
          <w:rFonts w:ascii="TimesNewRomanPS-ItalicMT" w:eastAsia="Times New Roman" w:hAnsi="TimesNewRomanPS-ItalicMT" w:cs="Times New Roman"/>
          <w:i/>
          <w:iCs/>
          <w:color w:val="000000"/>
          <w:sz w:val="26"/>
          <w:szCs w:val="26"/>
          <w:lang w:eastAsia="ru-RU"/>
        </w:rPr>
        <w:t>95,67 балла</w:t>
      </w:r>
      <w:r w:rsidRPr="00BA76A0">
        <w:rPr>
          <w:rFonts w:ascii="TimesNewRomanPSMT" w:eastAsia="Times New Roman" w:hAnsi="TimesNewRomanPSMT" w:cs="Times New Roman"/>
          <w:color w:val="000000"/>
          <w:sz w:val="26"/>
          <w:szCs w:val="26"/>
          <w:lang w:eastAsia="ru-RU"/>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25"/>
        <w:gridCol w:w="2205"/>
        <w:gridCol w:w="1770"/>
      </w:tblGrid>
      <w:tr w:rsidR="00784B6C" w:rsidRPr="00BA76A0" w:rsidTr="00784B6C">
        <w:tc>
          <w:tcPr>
            <w:tcW w:w="5325" w:type="dxa"/>
            <w:tcBorders>
              <w:top w:val="nil"/>
              <w:left w:val="nil"/>
              <w:bottom w:val="nil"/>
              <w:right w:val="nil"/>
            </w:tcBorders>
            <w:vAlign w:val="center"/>
            <w:hideMark/>
          </w:tcPr>
          <w:p w:rsidR="00784B6C" w:rsidRPr="00BA76A0" w:rsidRDefault="00784B6C" w:rsidP="00784B6C">
            <w:pPr>
              <w:spacing w:after="0" w:line="360" w:lineRule="auto"/>
              <w:contextualSpacing/>
              <w:jc w:val="both"/>
              <w:rPr>
                <w:rFonts w:ascii="Times New Roman" w:eastAsia="Times New Roman" w:hAnsi="Times New Roman" w:cs="Times New Roman"/>
                <w:sz w:val="26"/>
                <w:szCs w:val="26"/>
                <w:lang w:eastAsia="ru-RU"/>
              </w:rPr>
            </w:pPr>
            <w:r w:rsidRPr="00BA76A0">
              <w:rPr>
                <w:rFonts w:ascii="TimesNewRomanPSMT" w:eastAsia="Times New Roman" w:hAnsi="TimesNewRomanPSMT" w:cs="Times New Roman"/>
                <w:color w:val="000000"/>
                <w:sz w:val="26"/>
                <w:szCs w:val="26"/>
                <w:lang w:eastAsia="ru-RU"/>
              </w:rPr>
              <w:t>- критерий 4 «Доброжелательность, организации (учреждения)» (</w:t>
            </w:r>
            <w:r w:rsidRPr="00BA76A0">
              <w:rPr>
                <w:rFonts w:ascii="TimesNewRomanPS-ItalicMT" w:eastAsia="Times New Roman" w:hAnsi="TimesNewRomanPS-ItalicMT" w:cs="Times New Roman"/>
                <w:i/>
                <w:iCs/>
                <w:color w:val="000000"/>
                <w:sz w:val="26"/>
                <w:szCs w:val="26"/>
                <w:lang w:eastAsia="ru-RU"/>
              </w:rPr>
              <w:t>97,9 балла</w:t>
            </w:r>
            <w:r w:rsidRPr="00BA76A0">
              <w:rPr>
                <w:rFonts w:ascii="TimesNewRomanPSMT" w:eastAsia="Times New Roman" w:hAnsi="TimesNewRomanPSMT" w:cs="Times New Roman"/>
                <w:color w:val="000000"/>
                <w:sz w:val="26"/>
                <w:szCs w:val="26"/>
                <w:lang w:eastAsia="ru-RU"/>
              </w:rPr>
              <w:t>);</w:t>
            </w:r>
          </w:p>
        </w:tc>
        <w:tc>
          <w:tcPr>
            <w:tcW w:w="2205" w:type="dxa"/>
            <w:tcBorders>
              <w:top w:val="nil"/>
              <w:left w:val="nil"/>
              <w:bottom w:val="nil"/>
              <w:right w:val="nil"/>
            </w:tcBorders>
            <w:vAlign w:val="center"/>
            <w:hideMark/>
          </w:tcPr>
          <w:p w:rsidR="00784B6C" w:rsidRPr="00BA76A0" w:rsidRDefault="00784B6C" w:rsidP="00784B6C">
            <w:pPr>
              <w:spacing w:after="0" w:line="360" w:lineRule="auto"/>
              <w:contextualSpacing/>
              <w:jc w:val="both"/>
              <w:rPr>
                <w:rFonts w:ascii="Times New Roman" w:eastAsia="Times New Roman" w:hAnsi="Times New Roman" w:cs="Times New Roman"/>
                <w:sz w:val="26"/>
                <w:szCs w:val="26"/>
                <w:lang w:eastAsia="ru-RU"/>
              </w:rPr>
            </w:pPr>
            <w:r w:rsidRPr="00BA76A0">
              <w:rPr>
                <w:rFonts w:ascii="TimesNewRomanPSMT" w:eastAsia="Times New Roman" w:hAnsi="TimesNewRomanPSMT" w:cs="Times New Roman"/>
                <w:color w:val="000000"/>
                <w:sz w:val="26"/>
                <w:szCs w:val="26"/>
                <w:lang w:eastAsia="ru-RU"/>
              </w:rPr>
              <w:t xml:space="preserve">вежливость </w:t>
            </w:r>
          </w:p>
        </w:tc>
        <w:tc>
          <w:tcPr>
            <w:tcW w:w="1770" w:type="dxa"/>
            <w:tcBorders>
              <w:top w:val="nil"/>
              <w:left w:val="nil"/>
              <w:bottom w:val="nil"/>
              <w:right w:val="nil"/>
            </w:tcBorders>
            <w:vAlign w:val="center"/>
            <w:hideMark/>
          </w:tcPr>
          <w:p w:rsidR="00784B6C" w:rsidRPr="00BA76A0" w:rsidRDefault="00784B6C" w:rsidP="00784B6C">
            <w:pPr>
              <w:spacing w:after="0" w:line="360" w:lineRule="auto"/>
              <w:contextualSpacing/>
              <w:jc w:val="both"/>
              <w:rPr>
                <w:rFonts w:ascii="Times New Roman" w:eastAsia="Times New Roman" w:hAnsi="Times New Roman" w:cs="Times New Roman"/>
                <w:sz w:val="26"/>
                <w:szCs w:val="26"/>
                <w:lang w:eastAsia="ru-RU"/>
              </w:rPr>
            </w:pPr>
            <w:r w:rsidRPr="00BA76A0">
              <w:rPr>
                <w:rFonts w:ascii="TimesNewRomanPSMT" w:eastAsia="Times New Roman" w:hAnsi="TimesNewRomanPSMT" w:cs="Times New Roman"/>
                <w:color w:val="000000"/>
                <w:sz w:val="26"/>
                <w:szCs w:val="26"/>
                <w:lang w:eastAsia="ru-RU"/>
              </w:rPr>
              <w:t xml:space="preserve">работников </w:t>
            </w:r>
          </w:p>
        </w:tc>
      </w:tr>
    </w:tbl>
    <w:p w:rsidR="00784B6C" w:rsidRPr="00BA76A0" w:rsidRDefault="00784B6C" w:rsidP="00784B6C">
      <w:pPr>
        <w:spacing w:after="0" w:line="360" w:lineRule="auto"/>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 критерий 5 «Удовлетворенность условиями оказания услуг» (</w:t>
      </w:r>
      <w:r w:rsidRPr="00BA76A0">
        <w:rPr>
          <w:rFonts w:ascii="TimesNewRomanPS-ItalicMT" w:eastAsia="Times New Roman" w:hAnsi="TimesNewRomanPS-ItalicMT" w:cs="Times New Roman"/>
          <w:i/>
          <w:iCs/>
          <w:color w:val="000000"/>
          <w:sz w:val="26"/>
          <w:szCs w:val="26"/>
          <w:lang w:eastAsia="ru-RU"/>
        </w:rPr>
        <w:t>96,67 балла</w:t>
      </w:r>
      <w:r w:rsidRPr="00BA76A0">
        <w:rPr>
          <w:rFonts w:ascii="TimesNewRomanPSMT" w:eastAsia="Times New Roman" w:hAnsi="TimesNewRomanPSMT" w:cs="Times New Roman"/>
          <w:color w:val="000000"/>
          <w:sz w:val="26"/>
          <w:szCs w:val="26"/>
          <w:lang w:eastAsia="ru-RU"/>
        </w:rPr>
        <w:t>).</w:t>
      </w:r>
    </w:p>
    <w:p w:rsidR="00784B6C" w:rsidRPr="00BA76A0" w:rsidRDefault="00784B6C" w:rsidP="00784B6C">
      <w:pPr>
        <w:spacing w:after="0" w:line="360" w:lineRule="auto"/>
        <w:ind w:firstLine="567"/>
        <w:contextualSpacing/>
        <w:jc w:val="both"/>
        <w:rPr>
          <w:rFonts w:ascii="TimesNewRomanPSMT" w:eastAsia="Times New Roman" w:hAnsi="TimesNewRomanPSMT" w:cs="Times New Roman"/>
          <w:color w:val="000000"/>
          <w:sz w:val="26"/>
          <w:szCs w:val="26"/>
          <w:lang w:eastAsia="ru-RU"/>
        </w:rPr>
      </w:pPr>
      <w:r w:rsidRPr="00BA76A0">
        <w:rPr>
          <w:rFonts w:ascii="TimesNewRomanPSMT" w:eastAsia="Times New Roman" w:hAnsi="TimesNewRomanPSMT" w:cs="Times New Roman"/>
          <w:color w:val="000000"/>
          <w:sz w:val="26"/>
          <w:szCs w:val="26"/>
          <w:lang w:eastAsia="ru-RU"/>
        </w:rPr>
        <w:t>По результатам анализа общих критериев, выявлено, что ряд проблем в деятельности организаций связан с доступностью услуг для инвалидов (</w:t>
      </w:r>
      <w:r w:rsidRPr="00BA76A0">
        <w:rPr>
          <w:rFonts w:ascii="TimesNewRomanPS-ItalicMT" w:eastAsia="Times New Roman" w:hAnsi="TimesNewRomanPS-ItalicMT" w:cs="Times New Roman"/>
          <w:i/>
          <w:iCs/>
          <w:color w:val="000000"/>
          <w:sz w:val="26"/>
          <w:szCs w:val="26"/>
          <w:lang w:eastAsia="ru-RU"/>
        </w:rPr>
        <w:t>61,17 балла</w:t>
      </w:r>
      <w:r w:rsidRPr="00BA76A0">
        <w:rPr>
          <w:rFonts w:ascii="TimesNewRomanPSMT" w:eastAsia="Times New Roman" w:hAnsi="TimesNewRomanPSMT" w:cs="Times New Roman"/>
          <w:color w:val="000000"/>
          <w:sz w:val="26"/>
          <w:szCs w:val="26"/>
          <w:lang w:eastAsia="ru-RU"/>
        </w:rPr>
        <w:t>).</w:t>
      </w:r>
    </w:p>
    <w:p w:rsidR="00D31EE8" w:rsidRPr="00BA76A0" w:rsidRDefault="00D31EE8" w:rsidP="00D31EE8">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Оценочная процедура направлена на получение сведений об условиях оказания услуг организациями в сфере культуры, предоставление участникам </w:t>
      </w:r>
      <w:r w:rsidRPr="00BA76A0">
        <w:rPr>
          <w:rFonts w:ascii="Times New Roman" w:hAnsi="Times New Roman" w:cs="Times New Roman"/>
          <w:sz w:val="26"/>
          <w:szCs w:val="26"/>
        </w:rPr>
        <w:lastRenderedPageBreak/>
        <w:t>отношений в сфере культуры соответствующей информации на основе общедоступной информации и улучшение информированности потребителей о качестве работы организаций культуры.</w:t>
      </w:r>
    </w:p>
    <w:p w:rsidR="00D31EE8" w:rsidRPr="00BA76A0" w:rsidRDefault="00D31EE8" w:rsidP="00D31EE8">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Независимая оценка качества условий оказания услуг организациями в сфере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в сфере культуры, а также в целях повышения качества их деятельности. Независимая оценка качества условий предоставления услуг проводится раз в три года независимым оператором.</w:t>
      </w:r>
    </w:p>
    <w:p w:rsidR="00D31EE8" w:rsidRPr="00BA76A0" w:rsidRDefault="00D31EE8" w:rsidP="00D31EE8">
      <w:pPr>
        <w:spacing w:after="0" w:line="36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Группы показателей характеризующие общие критерии оценки качества условий осуществления деятельности, организациями, осуществляющими деятельность в сфере культуры, установленные приказом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 </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1. показатели, характеризующие открытость и доступность информации об организации культуры (далее - организации); </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2. показатели, характеризующие комфортность условий предоставления услуг; </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3. показатели, характеризующие доступность услуг для инвалидов; </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 xml:space="preserve">4. показатели, характеризующие доброжелательность, вежливость работников организации; </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5. показатели, характеризующие удовлетворенность условиями оказания услуг.</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Рейтинг независимой оценки качества условий оказания услуг организациями, осуществляющими деятельность в сфере культуры:</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1. МБУК "Шарангский районный Дом культуры" 88,29 баллов – 1 место в рейтинге;</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2. МБУК "Шарангская централизованная клубная система" и МБУК "Межпоселенческая централизованная библиотечная система" Шарангского муниципального округа набрали по 85,79 баллов – 3 место в рейтинге;</w:t>
      </w:r>
    </w:p>
    <w:p w:rsidR="00D31EE8" w:rsidRPr="00BA76A0" w:rsidRDefault="00D31EE8" w:rsidP="00E44745">
      <w:pPr>
        <w:spacing w:after="0" w:line="240" w:lineRule="auto"/>
        <w:ind w:firstLine="709"/>
        <w:contextualSpacing/>
        <w:jc w:val="both"/>
        <w:rPr>
          <w:rFonts w:ascii="Times New Roman" w:hAnsi="Times New Roman" w:cs="Times New Roman"/>
          <w:sz w:val="26"/>
          <w:szCs w:val="26"/>
        </w:rPr>
      </w:pPr>
      <w:r w:rsidRPr="00BA76A0">
        <w:rPr>
          <w:rFonts w:ascii="Times New Roman" w:hAnsi="Times New Roman" w:cs="Times New Roman"/>
          <w:sz w:val="26"/>
          <w:szCs w:val="26"/>
        </w:rPr>
        <w:t>3. МБУК "Шарангский народный краеведческий музей" 85,41 баллов – 3 место.</w:t>
      </w:r>
    </w:p>
    <w:p w:rsidR="00D31EE8" w:rsidRPr="00BA76A0" w:rsidRDefault="00D31EE8" w:rsidP="00E44745">
      <w:pPr>
        <w:spacing w:after="0" w:line="240" w:lineRule="auto"/>
        <w:ind w:firstLine="567"/>
        <w:contextualSpacing/>
        <w:jc w:val="both"/>
        <w:rPr>
          <w:rFonts w:ascii="Times New Roman" w:hAnsi="Times New Roman" w:cs="Times New Roman"/>
          <w:b/>
          <w:bCs/>
          <w:sz w:val="26"/>
          <w:szCs w:val="26"/>
        </w:rPr>
      </w:pPr>
    </w:p>
    <w:p w:rsidR="009E5440" w:rsidRPr="00BA76A0" w:rsidRDefault="009E5440" w:rsidP="00D31EE8">
      <w:pPr>
        <w:spacing w:line="360" w:lineRule="auto"/>
        <w:ind w:firstLineChars="100" w:firstLine="260"/>
        <w:contextualSpacing/>
        <w:jc w:val="both"/>
        <w:rPr>
          <w:rFonts w:ascii="Times New Roman" w:hAnsi="Times New Roman" w:cs="Times New Roman"/>
          <w:color w:val="1A1A1A"/>
          <w:sz w:val="26"/>
          <w:szCs w:val="26"/>
          <w:shd w:val="clear" w:color="auto" w:fill="FFFFFF"/>
        </w:rPr>
      </w:pPr>
    </w:p>
    <w:p w:rsidR="00E3451E" w:rsidRDefault="00E3451E" w:rsidP="00FA1AC5">
      <w:pPr>
        <w:spacing w:line="360" w:lineRule="auto"/>
        <w:ind w:firstLineChars="100" w:firstLine="260"/>
        <w:contextualSpacing/>
        <w:jc w:val="both"/>
        <w:rPr>
          <w:rFonts w:ascii="Times New Roman" w:hAnsi="Times New Roman" w:cs="Times New Roman"/>
          <w:sz w:val="26"/>
          <w:szCs w:val="26"/>
        </w:rPr>
      </w:pPr>
    </w:p>
    <w:p w:rsidR="009E5440" w:rsidRPr="00BA76A0" w:rsidRDefault="00E3451E" w:rsidP="00FA1AC5">
      <w:pPr>
        <w:spacing w:line="360" w:lineRule="auto"/>
        <w:ind w:firstLineChars="100" w:firstLine="260"/>
        <w:contextualSpacing/>
        <w:jc w:val="both"/>
        <w:rPr>
          <w:rFonts w:ascii="Times New Roman" w:hAnsi="Times New Roman" w:cs="Times New Roman"/>
          <w:sz w:val="26"/>
          <w:szCs w:val="26"/>
        </w:rPr>
      </w:pPr>
      <w:r>
        <w:rPr>
          <w:rFonts w:ascii="Times New Roman" w:hAnsi="Times New Roman" w:cs="Times New Roman"/>
          <w:sz w:val="26"/>
          <w:szCs w:val="26"/>
        </w:rPr>
        <w:t xml:space="preserve">Глава местного самоуправления                                                     Д.О. Ожиганов         </w:t>
      </w:r>
    </w:p>
    <w:sectPr w:rsidR="009E5440" w:rsidRPr="00BA76A0" w:rsidSect="006B0F12">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FE2" w:rsidRDefault="00B91FE2" w:rsidP="0025311B">
      <w:pPr>
        <w:spacing w:after="0" w:line="240" w:lineRule="auto"/>
      </w:pPr>
      <w:r>
        <w:separator/>
      </w:r>
    </w:p>
  </w:endnote>
  <w:endnote w:type="continuationSeparator" w:id="1">
    <w:p w:rsidR="00B91FE2" w:rsidRDefault="00B91FE2" w:rsidP="00253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ungsuh">
    <w:altName w:val="Times New Roman"/>
    <w:charset w:val="00"/>
    <w:family w:val="roman"/>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FE2" w:rsidRDefault="00B91FE2" w:rsidP="0025311B">
      <w:pPr>
        <w:spacing w:after="0" w:line="240" w:lineRule="auto"/>
      </w:pPr>
      <w:r>
        <w:separator/>
      </w:r>
    </w:p>
  </w:footnote>
  <w:footnote w:type="continuationSeparator" w:id="1">
    <w:p w:rsidR="00B91FE2" w:rsidRDefault="00B91FE2" w:rsidP="002531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03F20824"/>
    <w:multiLevelType w:val="hybridMultilevel"/>
    <w:tmpl w:val="076AC056"/>
    <w:lvl w:ilvl="0" w:tplc="FB24249E">
      <w:start w:val="1"/>
      <w:numFmt w:val="decimal"/>
      <w:lvlText w:val="%1."/>
      <w:lvlJc w:val="left"/>
      <w:pPr>
        <w:tabs>
          <w:tab w:val="num" w:pos="720"/>
        </w:tabs>
        <w:ind w:left="720" w:hanging="360"/>
      </w:pPr>
      <w:rPr>
        <w:b w:val="0"/>
        <w:i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D242E2B6">
      <w:start w:val="1"/>
      <w:numFmt w:val="decimal"/>
      <w:lvlText w:val="%4."/>
      <w:lvlJc w:val="left"/>
      <w:pPr>
        <w:tabs>
          <w:tab w:val="num" w:pos="720"/>
        </w:tabs>
        <w:ind w:left="720" w:hanging="360"/>
      </w:pPr>
      <w:rPr>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rPr>
        <w:b w:val="0"/>
        <w:i w:val="0"/>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65D13"/>
    <w:multiLevelType w:val="multilevel"/>
    <w:tmpl w:val="B7FCDD0C"/>
    <w:lvl w:ilvl="0">
      <w:start w:val="1"/>
      <w:numFmt w:val="decimal"/>
      <w:lvlText w:val="%1."/>
      <w:lvlJc w:val="left"/>
      <w:pPr>
        <w:tabs>
          <w:tab w:val="num" w:pos="708"/>
        </w:tabs>
        <w:ind w:left="0" w:firstLine="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25C3D"/>
    <w:multiLevelType w:val="multilevel"/>
    <w:tmpl w:val="49CEFBB2"/>
    <w:lvl w:ilvl="0">
      <w:start w:val="1"/>
      <w:numFmt w:val="decimal"/>
      <w:lvlText w:val="%1."/>
      <w:lvlJc w:val="left"/>
      <w:pPr>
        <w:ind w:left="144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A1B34"/>
    <w:multiLevelType w:val="hybridMultilevel"/>
    <w:tmpl w:val="8CE84194"/>
    <w:lvl w:ilvl="0" w:tplc="96C811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6F083F"/>
    <w:multiLevelType w:val="multilevel"/>
    <w:tmpl w:val="FACAA69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A37BE"/>
    <w:multiLevelType w:val="multilevel"/>
    <w:tmpl w:val="6608C2DA"/>
    <w:lvl w:ilvl="0">
      <w:start w:val="1"/>
      <w:numFmt w:val="decimal"/>
      <w:lvlText w:val="%1."/>
      <w:lvlJc w:val="left"/>
      <w:pPr>
        <w:ind w:left="600" w:hanging="360"/>
      </w:pPr>
      <w:rPr>
        <w:b/>
        <w:sz w:val="28"/>
        <w:szCs w:val="28"/>
      </w:rPr>
    </w:lvl>
    <w:lvl w:ilvl="1">
      <w:start w:val="1"/>
      <w:numFmt w:val="decimal"/>
      <w:lvlText w:val="%1.%2."/>
      <w:lvlJc w:val="left"/>
      <w:pPr>
        <w:ind w:left="600" w:hanging="360"/>
      </w:pPr>
      <w:rPr>
        <w:b w:val="0"/>
      </w:rPr>
    </w:lvl>
    <w:lvl w:ilvl="2">
      <w:start w:val="1"/>
      <w:numFmt w:val="decimal"/>
      <w:lvlText w:val="%1.%2.%3."/>
      <w:lvlJc w:val="left"/>
      <w:pPr>
        <w:ind w:left="960" w:hanging="720"/>
      </w:pPr>
    </w:lvl>
    <w:lvl w:ilvl="3">
      <w:start w:val="1"/>
      <w:numFmt w:val="decimal"/>
      <w:lvlText w:val="%1.%2.%3.%4."/>
      <w:lvlJc w:val="left"/>
      <w:pPr>
        <w:ind w:left="960" w:hanging="720"/>
      </w:pPr>
    </w:lvl>
    <w:lvl w:ilvl="4">
      <w:start w:val="1"/>
      <w:numFmt w:val="decimal"/>
      <w:lvlText w:val="%1.%2.%3.%4.%5."/>
      <w:lvlJc w:val="left"/>
      <w:pPr>
        <w:ind w:left="1320" w:hanging="1080"/>
      </w:pPr>
    </w:lvl>
    <w:lvl w:ilvl="5">
      <w:start w:val="1"/>
      <w:numFmt w:val="decimal"/>
      <w:lvlText w:val="%1.%2.%3.%4.%5.%6."/>
      <w:lvlJc w:val="left"/>
      <w:pPr>
        <w:ind w:left="1320" w:hanging="1080"/>
      </w:pPr>
    </w:lvl>
    <w:lvl w:ilvl="6">
      <w:start w:val="1"/>
      <w:numFmt w:val="decimal"/>
      <w:lvlText w:val="%1.%2.%3.%4.%5.%6.%7."/>
      <w:lvlJc w:val="left"/>
      <w:pPr>
        <w:ind w:left="1680" w:hanging="1440"/>
      </w:pPr>
    </w:lvl>
    <w:lvl w:ilvl="7">
      <w:start w:val="1"/>
      <w:numFmt w:val="decimal"/>
      <w:lvlText w:val="%1.%2.%3.%4.%5.%6.%7.%8."/>
      <w:lvlJc w:val="left"/>
      <w:pPr>
        <w:ind w:left="1680" w:hanging="1440"/>
      </w:pPr>
    </w:lvl>
    <w:lvl w:ilvl="8">
      <w:start w:val="1"/>
      <w:numFmt w:val="decimal"/>
      <w:lvlText w:val="%1.%2.%3.%4.%5.%6.%7.%8.%9."/>
      <w:lvlJc w:val="left"/>
      <w:pPr>
        <w:ind w:left="2040" w:hanging="1800"/>
      </w:pPr>
    </w:lvl>
  </w:abstractNum>
  <w:abstractNum w:abstractNumId="6">
    <w:nsid w:val="185C3135"/>
    <w:multiLevelType w:val="hybridMultilevel"/>
    <w:tmpl w:val="329E2B3C"/>
    <w:lvl w:ilvl="0" w:tplc="CA40724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BAA7033"/>
    <w:multiLevelType w:val="multilevel"/>
    <w:tmpl w:val="6D7EDB5A"/>
    <w:lvl w:ilvl="0">
      <w:start w:val="1"/>
      <w:numFmt w:val="decimal"/>
      <w:lvlText w:val="%1."/>
      <w:lvlJc w:val="left"/>
      <w:pPr>
        <w:ind w:left="720" w:hanging="360"/>
      </w:pPr>
      <w:rPr>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BA4A54"/>
    <w:multiLevelType w:val="multilevel"/>
    <w:tmpl w:val="7FB23958"/>
    <w:lvl w:ilvl="0">
      <w:start w:val="1"/>
      <w:numFmt w:val="bullet"/>
      <w:lvlText w:val=""/>
      <w:lvlJc w:val="left"/>
      <w:pPr>
        <w:tabs>
          <w:tab w:val="num" w:pos="0"/>
        </w:tabs>
        <w:ind w:left="87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2200C6"/>
    <w:multiLevelType w:val="hybridMultilevel"/>
    <w:tmpl w:val="03CC0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6442AC"/>
    <w:multiLevelType w:val="multilevel"/>
    <w:tmpl w:val="EB7A39FA"/>
    <w:lvl w:ilvl="0">
      <w:start w:val="1"/>
      <w:numFmt w:val="bullet"/>
      <w:lvlText w:val=""/>
      <w:lvlJc w:val="left"/>
      <w:pPr>
        <w:tabs>
          <w:tab w:val="num" w:pos="0"/>
        </w:tabs>
        <w:ind w:left="87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19C0635"/>
    <w:multiLevelType w:val="multilevel"/>
    <w:tmpl w:val="88082A62"/>
    <w:lvl w:ilvl="0">
      <w:start w:val="1"/>
      <w:numFmt w:val="decimal"/>
      <w:lvlText w:val="%1."/>
      <w:lvlJc w:val="left"/>
      <w:pPr>
        <w:tabs>
          <w:tab w:val="num" w:pos="708"/>
        </w:tabs>
        <w:ind w:left="0" w:firstLine="0"/>
      </w:pPr>
      <w:rPr>
        <w:rFonts w:ascii="Times New Roman" w:hAnsi="Times New Roman" w:cs="Times New Roman"/>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46626D"/>
    <w:multiLevelType w:val="multilevel"/>
    <w:tmpl w:val="7354CF74"/>
    <w:lvl w:ilvl="0">
      <w:start w:val="1"/>
      <w:numFmt w:val="decimal"/>
      <w:lvlText w:val="%1."/>
      <w:lvlJc w:val="left"/>
      <w:pPr>
        <w:ind w:left="720" w:hanging="360"/>
      </w:pPr>
      <w:rPr>
        <w:sz w:val="28"/>
        <w:szCs w:val="28"/>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nsid w:val="31A25AED"/>
    <w:multiLevelType w:val="multilevel"/>
    <w:tmpl w:val="1E46B4E4"/>
    <w:lvl w:ilvl="0">
      <w:start w:val="1"/>
      <w:numFmt w:val="bullet"/>
      <w:lvlText w:val=""/>
      <w:lvlJc w:val="left"/>
      <w:pPr>
        <w:ind w:left="1637" w:hanging="360"/>
      </w:pPr>
      <w:rPr>
        <w:rFonts w:ascii="Symbol" w:hAnsi="Symbol" w:cs="Symbol" w:hint="default"/>
        <w:color w:val="333333"/>
        <w:sz w:val="28"/>
        <w:szCs w:val="28"/>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AE51A6"/>
    <w:multiLevelType w:val="multilevel"/>
    <w:tmpl w:val="4484DE24"/>
    <w:lvl w:ilvl="0">
      <w:start w:val="1"/>
      <w:numFmt w:val="decimal"/>
      <w:lvlText w:val="%1."/>
      <w:lvlJc w:val="left"/>
      <w:pPr>
        <w:tabs>
          <w:tab w:val="num" w:pos="0"/>
        </w:tabs>
        <w:ind w:left="720" w:hanging="360"/>
      </w:pPr>
      <w:rPr>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EA245D"/>
    <w:multiLevelType w:val="multilevel"/>
    <w:tmpl w:val="64B28458"/>
    <w:lvl w:ilvl="0">
      <w:start w:val="1"/>
      <w:numFmt w:val="decimal"/>
      <w:lvlText w:val="%1."/>
      <w:lvlJc w:val="left"/>
      <w:pPr>
        <w:ind w:left="927"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06EC4"/>
    <w:multiLevelType w:val="multilevel"/>
    <w:tmpl w:val="3EF6B664"/>
    <w:lvl w:ilvl="0">
      <w:start w:val="1"/>
      <w:numFmt w:val="decimal"/>
      <w:lvlText w:val="%1."/>
      <w:lvlJc w:val="left"/>
      <w:pPr>
        <w:tabs>
          <w:tab w:val="num" w:pos="0"/>
        </w:tabs>
        <w:ind w:left="927"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C866A4"/>
    <w:multiLevelType w:val="multilevel"/>
    <w:tmpl w:val="F88A7BBC"/>
    <w:lvl w:ilvl="0">
      <w:start w:val="1"/>
      <w:numFmt w:val="decimal"/>
      <w:lvlText w:val="%1."/>
      <w:lvlJc w:val="left"/>
      <w:pPr>
        <w:tabs>
          <w:tab w:val="num" w:pos="0"/>
        </w:tabs>
        <w:ind w:left="87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8100CCA"/>
    <w:multiLevelType w:val="multilevel"/>
    <w:tmpl w:val="894EEBAA"/>
    <w:lvl w:ilvl="0">
      <w:start w:val="1"/>
      <w:numFmt w:val="decimal"/>
      <w:lvlText w:val="%1."/>
      <w:lvlJc w:val="left"/>
      <w:pPr>
        <w:tabs>
          <w:tab w:val="num" w:pos="708"/>
        </w:tabs>
        <w:ind w:left="0" w:firstLine="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300E4"/>
    <w:multiLevelType w:val="multilevel"/>
    <w:tmpl w:val="9BB4D0AE"/>
    <w:lvl w:ilvl="0">
      <w:start w:val="1"/>
      <w:numFmt w:val="decimal"/>
      <w:lvlText w:val="%1."/>
      <w:lvlJc w:val="left"/>
      <w:pPr>
        <w:ind w:left="927" w:hanging="360"/>
      </w:pPr>
      <w:rPr>
        <w:rFonts w:cs="Times New Roman"/>
        <w:sz w:val="28"/>
        <w:szCs w:val="28"/>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0">
    <w:nsid w:val="403F63EF"/>
    <w:multiLevelType w:val="multilevel"/>
    <w:tmpl w:val="15B6324E"/>
    <w:lvl w:ilvl="0">
      <w:start w:val="1"/>
      <w:numFmt w:val="bullet"/>
      <w:lvlText w:val=""/>
      <w:lvlJc w:val="left"/>
      <w:pPr>
        <w:ind w:left="1428" w:hanging="360"/>
      </w:pPr>
      <w:rPr>
        <w:rFonts w:ascii="Symbol" w:hAnsi="Symbol" w:cs="Symbol" w:hint="default"/>
        <w:color w:val="333333"/>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D76193"/>
    <w:multiLevelType w:val="multilevel"/>
    <w:tmpl w:val="3E06C6C6"/>
    <w:lvl w:ilvl="0">
      <w:start w:val="1"/>
      <w:numFmt w:val="decimal"/>
      <w:lvlText w:val="%1)"/>
      <w:lvlJc w:val="left"/>
      <w:pPr>
        <w:ind w:left="72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58C54E1"/>
    <w:multiLevelType w:val="hybridMultilevel"/>
    <w:tmpl w:val="126648F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4A7D57F3"/>
    <w:multiLevelType w:val="hybridMultilevel"/>
    <w:tmpl w:val="B71C59E8"/>
    <w:lvl w:ilvl="0" w:tplc="4308FD8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B152D88"/>
    <w:multiLevelType w:val="hybridMultilevel"/>
    <w:tmpl w:val="26C261EA"/>
    <w:lvl w:ilvl="0" w:tplc="60F88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4F4A46"/>
    <w:multiLevelType w:val="multilevel"/>
    <w:tmpl w:val="CFF232C0"/>
    <w:lvl w:ilvl="0">
      <w:start w:val="1"/>
      <w:numFmt w:val="decimal"/>
      <w:lvlText w:val="%1."/>
      <w:lvlJc w:val="left"/>
      <w:pPr>
        <w:ind w:left="600" w:hanging="360"/>
      </w:pPr>
      <w:rPr>
        <w:b w:val="0"/>
      </w:rPr>
    </w:lvl>
    <w:lvl w:ilvl="1">
      <w:start w:val="1"/>
      <w:numFmt w:val="decimal"/>
      <w:isLgl/>
      <w:lvlText w:val="%1.%2."/>
      <w:lvlJc w:val="left"/>
      <w:pPr>
        <w:ind w:left="600" w:hanging="360"/>
      </w:pPr>
      <w:rPr>
        <w:b w:val="0"/>
      </w:rPr>
    </w:lvl>
    <w:lvl w:ilvl="2">
      <w:start w:val="1"/>
      <w:numFmt w:val="decimal"/>
      <w:isLgl/>
      <w:lvlText w:val="%1.%2.%3."/>
      <w:lvlJc w:val="left"/>
      <w:pPr>
        <w:ind w:left="960" w:hanging="720"/>
      </w:pPr>
    </w:lvl>
    <w:lvl w:ilvl="3">
      <w:start w:val="1"/>
      <w:numFmt w:val="decimal"/>
      <w:isLgl/>
      <w:lvlText w:val="%1.%2.%3.%4."/>
      <w:lvlJc w:val="left"/>
      <w:pPr>
        <w:ind w:left="960" w:hanging="720"/>
      </w:pPr>
    </w:lvl>
    <w:lvl w:ilvl="4">
      <w:start w:val="1"/>
      <w:numFmt w:val="decimal"/>
      <w:isLgl/>
      <w:lvlText w:val="%1.%2.%3.%4.%5."/>
      <w:lvlJc w:val="left"/>
      <w:pPr>
        <w:ind w:left="1320" w:hanging="1080"/>
      </w:pPr>
    </w:lvl>
    <w:lvl w:ilvl="5">
      <w:start w:val="1"/>
      <w:numFmt w:val="decimal"/>
      <w:isLgl/>
      <w:lvlText w:val="%1.%2.%3.%4.%5.%6."/>
      <w:lvlJc w:val="left"/>
      <w:pPr>
        <w:ind w:left="1320" w:hanging="1080"/>
      </w:pPr>
    </w:lvl>
    <w:lvl w:ilvl="6">
      <w:start w:val="1"/>
      <w:numFmt w:val="decimal"/>
      <w:isLgl/>
      <w:lvlText w:val="%1.%2.%3.%4.%5.%6.%7."/>
      <w:lvlJc w:val="left"/>
      <w:pPr>
        <w:ind w:left="1680" w:hanging="1440"/>
      </w:pPr>
    </w:lvl>
    <w:lvl w:ilvl="7">
      <w:start w:val="1"/>
      <w:numFmt w:val="decimal"/>
      <w:isLgl/>
      <w:lvlText w:val="%1.%2.%3.%4.%5.%6.%7.%8."/>
      <w:lvlJc w:val="left"/>
      <w:pPr>
        <w:ind w:left="1680" w:hanging="1440"/>
      </w:pPr>
    </w:lvl>
    <w:lvl w:ilvl="8">
      <w:start w:val="1"/>
      <w:numFmt w:val="decimal"/>
      <w:isLgl/>
      <w:lvlText w:val="%1.%2.%3.%4.%5.%6.%7.%8.%9."/>
      <w:lvlJc w:val="left"/>
      <w:pPr>
        <w:ind w:left="2040" w:hanging="1800"/>
      </w:pPr>
    </w:lvl>
  </w:abstractNum>
  <w:abstractNum w:abstractNumId="26">
    <w:nsid w:val="502021EC"/>
    <w:multiLevelType w:val="hybridMultilevel"/>
    <w:tmpl w:val="05E45A54"/>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9B7015"/>
    <w:multiLevelType w:val="multilevel"/>
    <w:tmpl w:val="44106B8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FA1391"/>
    <w:multiLevelType w:val="multilevel"/>
    <w:tmpl w:val="95380AA6"/>
    <w:lvl w:ilvl="0">
      <w:start w:val="1"/>
      <w:numFmt w:val="decimal"/>
      <w:lvlText w:val="%1."/>
      <w:lvlJc w:val="left"/>
      <w:pPr>
        <w:ind w:left="720" w:hanging="360"/>
      </w:pPr>
      <w:rPr>
        <w:rFonts w:ascii="Times New Roman" w:hAnsi="Times New Roman"/>
        <w:b/>
        <w:sz w:val="28"/>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9">
    <w:nsid w:val="58FE5355"/>
    <w:multiLevelType w:val="multilevel"/>
    <w:tmpl w:val="39503B3A"/>
    <w:lvl w:ilvl="0">
      <w:start w:val="1"/>
      <w:numFmt w:val="decimal"/>
      <w:lvlText w:val="%1."/>
      <w:lvlJc w:val="left"/>
      <w:pPr>
        <w:ind w:left="720" w:hanging="360"/>
      </w:pPr>
      <w:rPr>
        <w:rFonts w:ascii="Times New Roman" w:eastAsia="Times New Roman" w:hAnsi="Times New Roman" w:cs="Times New Roman"/>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C36580"/>
    <w:multiLevelType w:val="multilevel"/>
    <w:tmpl w:val="C42209A2"/>
    <w:lvl w:ilvl="0">
      <w:start w:val="1"/>
      <w:numFmt w:val="decimal"/>
      <w:lvlText w:val="%1."/>
      <w:lvlJc w:val="left"/>
      <w:pPr>
        <w:ind w:left="72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46422BF"/>
    <w:multiLevelType w:val="multilevel"/>
    <w:tmpl w:val="441EA1F2"/>
    <w:lvl w:ilvl="0">
      <w:start w:val="1"/>
      <w:numFmt w:val="decimal"/>
      <w:lvlText w:val="%1."/>
      <w:lvlJc w:val="left"/>
      <w:pPr>
        <w:ind w:left="720" w:hanging="360"/>
      </w:pPr>
      <w:rPr>
        <w:rFonts w:ascii="Times New Roman" w:hAnsi="Times New Roman" w:cs="Times New Roman"/>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E30FD9"/>
    <w:multiLevelType w:val="hybridMultilevel"/>
    <w:tmpl w:val="FA007E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7282870"/>
    <w:multiLevelType w:val="multilevel"/>
    <w:tmpl w:val="2FB49644"/>
    <w:lvl w:ilvl="0">
      <w:start w:val="1"/>
      <w:numFmt w:val="decimal"/>
      <w:lvlText w:val="%1."/>
      <w:lvlJc w:val="left"/>
      <w:pPr>
        <w:tabs>
          <w:tab w:val="num" w:pos="0"/>
        </w:tabs>
        <w:ind w:left="927" w:hanging="360"/>
      </w:pPr>
      <w:rPr>
        <w:rFonts w:ascii="Times New Roman" w:hAnsi="Times New Roman" w:cs="Times New Roman"/>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9E4D13"/>
    <w:multiLevelType w:val="multilevel"/>
    <w:tmpl w:val="4EEE72A2"/>
    <w:lvl w:ilvl="0">
      <w:start w:val="1"/>
      <w:numFmt w:val="decimal"/>
      <w:lvlText w:val="%1."/>
      <w:lvlJc w:val="left"/>
      <w:pPr>
        <w:tabs>
          <w:tab w:val="num" w:pos="0"/>
        </w:tabs>
        <w:ind w:left="87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4E572E"/>
    <w:multiLevelType w:val="multilevel"/>
    <w:tmpl w:val="A0E4E754"/>
    <w:lvl w:ilvl="0">
      <w:start w:val="1"/>
      <w:numFmt w:val="decimal"/>
      <w:lvlText w:val="%1."/>
      <w:lvlJc w:val="left"/>
      <w:pPr>
        <w:ind w:left="720" w:hanging="360"/>
      </w:p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6">
    <w:nsid w:val="6BFD13BD"/>
    <w:multiLevelType w:val="multilevel"/>
    <w:tmpl w:val="ABAA29B6"/>
    <w:lvl w:ilvl="0">
      <w:start w:val="1"/>
      <w:numFmt w:val="decimal"/>
      <w:lvlText w:val="%1."/>
      <w:lvlJc w:val="left"/>
      <w:pPr>
        <w:tabs>
          <w:tab w:val="num" w:pos="0"/>
        </w:tabs>
        <w:ind w:left="720" w:hanging="360"/>
      </w:pPr>
      <w:rPr>
        <w:rFonts w:ascii="Times New Roman" w:eastAsia="Times New Roman" w:hAnsi="Times New Roman" w:cs="Times New Roman"/>
        <w:b w:val="0"/>
        <w:color w:val="00000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2327E6"/>
    <w:multiLevelType w:val="hybridMultilevel"/>
    <w:tmpl w:val="4088F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F23B6C"/>
    <w:multiLevelType w:val="singleLevel"/>
    <w:tmpl w:val="CE204C64"/>
    <w:lvl w:ilvl="0">
      <w:start w:val="1"/>
      <w:numFmt w:val="decimal"/>
      <w:lvlText w:val="%1."/>
      <w:legacy w:legacy="1" w:legacySpace="0" w:legacyIndent="374"/>
      <w:lvlJc w:val="left"/>
      <w:rPr>
        <w:rFonts w:ascii="Times New Roman" w:hAnsi="Times New Roman" w:cs="Times New Roman" w:hint="default"/>
      </w:rPr>
    </w:lvl>
  </w:abstractNum>
  <w:num w:numId="1">
    <w:abstractNumId w:val="38"/>
  </w:num>
  <w:num w:numId="2">
    <w:abstractNumId w:val="37"/>
  </w:num>
  <w:num w:numId="3">
    <w:abstractNumId w:val="2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4"/>
  </w:num>
  <w:num w:numId="7">
    <w:abstractNumId w:val="18"/>
  </w:num>
  <w:num w:numId="8">
    <w:abstractNumId w:val="13"/>
  </w:num>
  <w:num w:numId="9">
    <w:abstractNumId w:val="20"/>
  </w:num>
  <w:num w:numId="10">
    <w:abstractNumId w:val="31"/>
  </w:num>
  <w:num w:numId="11">
    <w:abstractNumId w:val="21"/>
  </w:num>
  <w:num w:numId="12">
    <w:abstractNumId w:val="5"/>
  </w:num>
  <w:num w:numId="13">
    <w:abstractNumId w:val="2"/>
  </w:num>
  <w:num w:numId="14">
    <w:abstractNumId w:val="4"/>
  </w:num>
  <w:num w:numId="15">
    <w:abstractNumId w:val="0"/>
  </w:num>
  <w:num w:numId="16">
    <w:abstractNumId w:val="28"/>
  </w:num>
  <w:num w:numId="17">
    <w:abstractNumId w:val="12"/>
  </w:num>
  <w:num w:numId="18">
    <w:abstractNumId w:val="19"/>
  </w:num>
  <w:num w:numId="19">
    <w:abstractNumId w:val="35"/>
  </w:num>
  <w:num w:numId="20">
    <w:abstractNumId w:val="27"/>
  </w:num>
  <w:num w:numId="21">
    <w:abstractNumId w:val="1"/>
  </w:num>
  <w:num w:numId="22">
    <w:abstractNumId w:val="29"/>
  </w:num>
  <w:num w:numId="23">
    <w:abstractNumId w:val="7"/>
  </w:num>
  <w:num w:numId="24">
    <w:abstractNumId w:val="15"/>
  </w:num>
  <w:num w:numId="25">
    <w:abstractNumId w:val="11"/>
  </w:num>
  <w:num w:numId="26">
    <w:abstractNumId w:val="36"/>
  </w:num>
  <w:num w:numId="27">
    <w:abstractNumId w:val="14"/>
  </w:num>
  <w:num w:numId="28">
    <w:abstractNumId w:val="16"/>
  </w:num>
  <w:num w:numId="29">
    <w:abstractNumId w:val="33"/>
  </w:num>
  <w:num w:numId="30">
    <w:abstractNumId w:val="8"/>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6"/>
  </w:num>
  <w:num w:numId="35">
    <w:abstractNumId w:val="10"/>
  </w:num>
  <w:num w:numId="36">
    <w:abstractNumId w:val="17"/>
    <w:lvlOverride w:ilvl="0">
      <w:startOverride w:val="1"/>
    </w:lvlOverride>
    <w:lvlOverride w:ilvl="1"/>
    <w:lvlOverride w:ilvl="2"/>
    <w:lvlOverride w:ilvl="3"/>
    <w:lvlOverride w:ilvl="4"/>
    <w:lvlOverride w:ilvl="5"/>
    <w:lvlOverride w:ilvl="6"/>
    <w:lvlOverride w:ilvl="7"/>
    <w:lvlOverride w:ilvl="8"/>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D41F38"/>
    <w:rsid w:val="000067CF"/>
    <w:rsid w:val="00020116"/>
    <w:rsid w:val="000309A0"/>
    <w:rsid w:val="0003105D"/>
    <w:rsid w:val="00032996"/>
    <w:rsid w:val="000330A5"/>
    <w:rsid w:val="00037F7E"/>
    <w:rsid w:val="00042EE4"/>
    <w:rsid w:val="00046605"/>
    <w:rsid w:val="00051762"/>
    <w:rsid w:val="00053F7D"/>
    <w:rsid w:val="00066A1B"/>
    <w:rsid w:val="000714E8"/>
    <w:rsid w:val="00082073"/>
    <w:rsid w:val="00095CBA"/>
    <w:rsid w:val="00097427"/>
    <w:rsid w:val="000A57D2"/>
    <w:rsid w:val="000B38D9"/>
    <w:rsid w:val="000D079F"/>
    <w:rsid w:val="000D7D2B"/>
    <w:rsid w:val="000E027E"/>
    <w:rsid w:val="000F61BD"/>
    <w:rsid w:val="000F73A6"/>
    <w:rsid w:val="001001E1"/>
    <w:rsid w:val="001009B4"/>
    <w:rsid w:val="00111D12"/>
    <w:rsid w:val="00112DE5"/>
    <w:rsid w:val="001165A5"/>
    <w:rsid w:val="001202D5"/>
    <w:rsid w:val="00122888"/>
    <w:rsid w:val="0013692C"/>
    <w:rsid w:val="00144577"/>
    <w:rsid w:val="0015790F"/>
    <w:rsid w:val="00157FF8"/>
    <w:rsid w:val="0016671A"/>
    <w:rsid w:val="00184BFE"/>
    <w:rsid w:val="001948FD"/>
    <w:rsid w:val="001A6D79"/>
    <w:rsid w:val="001A7807"/>
    <w:rsid w:val="001B71F4"/>
    <w:rsid w:val="001B7FA7"/>
    <w:rsid w:val="001C71FF"/>
    <w:rsid w:val="001F574D"/>
    <w:rsid w:val="0020078E"/>
    <w:rsid w:val="00200B4B"/>
    <w:rsid w:val="00207C89"/>
    <w:rsid w:val="002108C4"/>
    <w:rsid w:val="00215329"/>
    <w:rsid w:val="00216E29"/>
    <w:rsid w:val="0022302F"/>
    <w:rsid w:val="00232F85"/>
    <w:rsid w:val="002454C8"/>
    <w:rsid w:val="0024717C"/>
    <w:rsid w:val="00252799"/>
    <w:rsid w:val="0025311B"/>
    <w:rsid w:val="002557F6"/>
    <w:rsid w:val="0026376B"/>
    <w:rsid w:val="00265706"/>
    <w:rsid w:val="00270696"/>
    <w:rsid w:val="0027374F"/>
    <w:rsid w:val="00287932"/>
    <w:rsid w:val="002A69C8"/>
    <w:rsid w:val="002B1E28"/>
    <w:rsid w:val="002B43C2"/>
    <w:rsid w:val="002C1109"/>
    <w:rsid w:val="002C2717"/>
    <w:rsid w:val="002C4B49"/>
    <w:rsid w:val="002C6E09"/>
    <w:rsid w:val="002E49F4"/>
    <w:rsid w:val="002F3200"/>
    <w:rsid w:val="0030038B"/>
    <w:rsid w:val="003034E7"/>
    <w:rsid w:val="00307B7E"/>
    <w:rsid w:val="00315C14"/>
    <w:rsid w:val="00317FBE"/>
    <w:rsid w:val="00324E84"/>
    <w:rsid w:val="00327417"/>
    <w:rsid w:val="00330DB2"/>
    <w:rsid w:val="00337F21"/>
    <w:rsid w:val="00345837"/>
    <w:rsid w:val="0036328A"/>
    <w:rsid w:val="003669DC"/>
    <w:rsid w:val="0037793A"/>
    <w:rsid w:val="0039016B"/>
    <w:rsid w:val="00390DF8"/>
    <w:rsid w:val="003956F2"/>
    <w:rsid w:val="00395C24"/>
    <w:rsid w:val="00396F97"/>
    <w:rsid w:val="0039759E"/>
    <w:rsid w:val="003A458B"/>
    <w:rsid w:val="003B43AB"/>
    <w:rsid w:val="003B6854"/>
    <w:rsid w:val="003D2A35"/>
    <w:rsid w:val="003E4EF8"/>
    <w:rsid w:val="0040685F"/>
    <w:rsid w:val="00410C79"/>
    <w:rsid w:val="0041104B"/>
    <w:rsid w:val="004124AD"/>
    <w:rsid w:val="004220E7"/>
    <w:rsid w:val="00427D82"/>
    <w:rsid w:val="00433211"/>
    <w:rsid w:val="004364C9"/>
    <w:rsid w:val="00440112"/>
    <w:rsid w:val="00452475"/>
    <w:rsid w:val="0045408F"/>
    <w:rsid w:val="00454CA3"/>
    <w:rsid w:val="0046039D"/>
    <w:rsid w:val="00470C37"/>
    <w:rsid w:val="00474A5E"/>
    <w:rsid w:val="00480E63"/>
    <w:rsid w:val="00481E74"/>
    <w:rsid w:val="00491CE8"/>
    <w:rsid w:val="004B0187"/>
    <w:rsid w:val="004E07DF"/>
    <w:rsid w:val="004E58EB"/>
    <w:rsid w:val="004F08CD"/>
    <w:rsid w:val="004F3E3C"/>
    <w:rsid w:val="005013FE"/>
    <w:rsid w:val="00505D35"/>
    <w:rsid w:val="005112A1"/>
    <w:rsid w:val="0051462D"/>
    <w:rsid w:val="00514B38"/>
    <w:rsid w:val="0051500E"/>
    <w:rsid w:val="00517336"/>
    <w:rsid w:val="00521949"/>
    <w:rsid w:val="00522193"/>
    <w:rsid w:val="00525BD1"/>
    <w:rsid w:val="00526475"/>
    <w:rsid w:val="005323D7"/>
    <w:rsid w:val="00540F3E"/>
    <w:rsid w:val="0054771D"/>
    <w:rsid w:val="00562694"/>
    <w:rsid w:val="00574B8C"/>
    <w:rsid w:val="005800E4"/>
    <w:rsid w:val="005816DF"/>
    <w:rsid w:val="005A3580"/>
    <w:rsid w:val="005A65AA"/>
    <w:rsid w:val="005A6DDE"/>
    <w:rsid w:val="005B2C64"/>
    <w:rsid w:val="005C363F"/>
    <w:rsid w:val="005D14D1"/>
    <w:rsid w:val="005F42C3"/>
    <w:rsid w:val="0061005A"/>
    <w:rsid w:val="00610F37"/>
    <w:rsid w:val="00611291"/>
    <w:rsid w:val="00612361"/>
    <w:rsid w:val="00614E3E"/>
    <w:rsid w:val="00625F31"/>
    <w:rsid w:val="00657814"/>
    <w:rsid w:val="00657995"/>
    <w:rsid w:val="00662FD4"/>
    <w:rsid w:val="00664FBE"/>
    <w:rsid w:val="00667DFD"/>
    <w:rsid w:val="00671422"/>
    <w:rsid w:val="00671E82"/>
    <w:rsid w:val="00673C85"/>
    <w:rsid w:val="00673FB1"/>
    <w:rsid w:val="00681ECC"/>
    <w:rsid w:val="00687A10"/>
    <w:rsid w:val="00690A45"/>
    <w:rsid w:val="00690ED4"/>
    <w:rsid w:val="00695176"/>
    <w:rsid w:val="006A0C88"/>
    <w:rsid w:val="006A1127"/>
    <w:rsid w:val="006A1A1E"/>
    <w:rsid w:val="006A3BF5"/>
    <w:rsid w:val="006B0F12"/>
    <w:rsid w:val="006C780A"/>
    <w:rsid w:val="006E207C"/>
    <w:rsid w:val="006E7FEE"/>
    <w:rsid w:val="006F123F"/>
    <w:rsid w:val="006F4479"/>
    <w:rsid w:val="006F5193"/>
    <w:rsid w:val="006F6A9E"/>
    <w:rsid w:val="0070309E"/>
    <w:rsid w:val="00703E64"/>
    <w:rsid w:val="00705668"/>
    <w:rsid w:val="007064B8"/>
    <w:rsid w:val="007105E6"/>
    <w:rsid w:val="00723006"/>
    <w:rsid w:val="00724759"/>
    <w:rsid w:val="00743939"/>
    <w:rsid w:val="007506DA"/>
    <w:rsid w:val="00761A08"/>
    <w:rsid w:val="00773CE4"/>
    <w:rsid w:val="00784B6C"/>
    <w:rsid w:val="00790F78"/>
    <w:rsid w:val="007A4BCF"/>
    <w:rsid w:val="007B618B"/>
    <w:rsid w:val="007C22FE"/>
    <w:rsid w:val="007C2D69"/>
    <w:rsid w:val="007D60A3"/>
    <w:rsid w:val="007E3435"/>
    <w:rsid w:val="007F2336"/>
    <w:rsid w:val="007F3F64"/>
    <w:rsid w:val="007F6F53"/>
    <w:rsid w:val="00800176"/>
    <w:rsid w:val="008034EA"/>
    <w:rsid w:val="008165FF"/>
    <w:rsid w:val="008214DD"/>
    <w:rsid w:val="00822D5F"/>
    <w:rsid w:val="008244CC"/>
    <w:rsid w:val="00827411"/>
    <w:rsid w:val="0083398D"/>
    <w:rsid w:val="00833FB6"/>
    <w:rsid w:val="00840AA2"/>
    <w:rsid w:val="00844286"/>
    <w:rsid w:val="00853325"/>
    <w:rsid w:val="008656AA"/>
    <w:rsid w:val="00883B14"/>
    <w:rsid w:val="008865C4"/>
    <w:rsid w:val="008A0351"/>
    <w:rsid w:val="008A7DE3"/>
    <w:rsid w:val="008D608F"/>
    <w:rsid w:val="008F1C26"/>
    <w:rsid w:val="00906D51"/>
    <w:rsid w:val="00911F8F"/>
    <w:rsid w:val="00912A81"/>
    <w:rsid w:val="0091788B"/>
    <w:rsid w:val="00935C4F"/>
    <w:rsid w:val="00942B6B"/>
    <w:rsid w:val="00944EF1"/>
    <w:rsid w:val="0095788D"/>
    <w:rsid w:val="009663DD"/>
    <w:rsid w:val="009824D5"/>
    <w:rsid w:val="00993E24"/>
    <w:rsid w:val="00995BF6"/>
    <w:rsid w:val="00996196"/>
    <w:rsid w:val="009961D8"/>
    <w:rsid w:val="009A387E"/>
    <w:rsid w:val="009A577B"/>
    <w:rsid w:val="009A58E3"/>
    <w:rsid w:val="009B14AD"/>
    <w:rsid w:val="009B6AB2"/>
    <w:rsid w:val="009C2F26"/>
    <w:rsid w:val="009E30A8"/>
    <w:rsid w:val="009E5440"/>
    <w:rsid w:val="00A12D41"/>
    <w:rsid w:val="00A1401A"/>
    <w:rsid w:val="00A209D4"/>
    <w:rsid w:val="00A20E05"/>
    <w:rsid w:val="00A354A5"/>
    <w:rsid w:val="00A4287E"/>
    <w:rsid w:val="00A43F36"/>
    <w:rsid w:val="00A4404D"/>
    <w:rsid w:val="00A6003B"/>
    <w:rsid w:val="00A601FB"/>
    <w:rsid w:val="00A6083E"/>
    <w:rsid w:val="00A71928"/>
    <w:rsid w:val="00A72DA0"/>
    <w:rsid w:val="00A93272"/>
    <w:rsid w:val="00A93DC0"/>
    <w:rsid w:val="00A96135"/>
    <w:rsid w:val="00AA45C2"/>
    <w:rsid w:val="00AA5705"/>
    <w:rsid w:val="00AA6E73"/>
    <w:rsid w:val="00AB0233"/>
    <w:rsid w:val="00AB4BB5"/>
    <w:rsid w:val="00AF348E"/>
    <w:rsid w:val="00AF4610"/>
    <w:rsid w:val="00B01F0A"/>
    <w:rsid w:val="00B02CE5"/>
    <w:rsid w:val="00B04839"/>
    <w:rsid w:val="00B100D1"/>
    <w:rsid w:val="00B1318B"/>
    <w:rsid w:val="00B13D7A"/>
    <w:rsid w:val="00B17C0B"/>
    <w:rsid w:val="00B32CB2"/>
    <w:rsid w:val="00B47D3B"/>
    <w:rsid w:val="00B91FE2"/>
    <w:rsid w:val="00BA29F7"/>
    <w:rsid w:val="00BA3A01"/>
    <w:rsid w:val="00BA76A0"/>
    <w:rsid w:val="00BB45C2"/>
    <w:rsid w:val="00BB7AD5"/>
    <w:rsid w:val="00BC10B6"/>
    <w:rsid w:val="00BC1DC0"/>
    <w:rsid w:val="00BC3CEF"/>
    <w:rsid w:val="00BC6FB3"/>
    <w:rsid w:val="00BD1ECF"/>
    <w:rsid w:val="00BD2B31"/>
    <w:rsid w:val="00BD3D9E"/>
    <w:rsid w:val="00BE092C"/>
    <w:rsid w:val="00BE2048"/>
    <w:rsid w:val="00C00C56"/>
    <w:rsid w:val="00C21983"/>
    <w:rsid w:val="00C23228"/>
    <w:rsid w:val="00C25003"/>
    <w:rsid w:val="00C36D40"/>
    <w:rsid w:val="00C4495F"/>
    <w:rsid w:val="00C4595E"/>
    <w:rsid w:val="00C4736B"/>
    <w:rsid w:val="00C508AA"/>
    <w:rsid w:val="00C609A4"/>
    <w:rsid w:val="00C67172"/>
    <w:rsid w:val="00C73D13"/>
    <w:rsid w:val="00C74AE8"/>
    <w:rsid w:val="00C75890"/>
    <w:rsid w:val="00C8356C"/>
    <w:rsid w:val="00C8648C"/>
    <w:rsid w:val="00C866CB"/>
    <w:rsid w:val="00CA26FF"/>
    <w:rsid w:val="00CA735A"/>
    <w:rsid w:val="00CB75BD"/>
    <w:rsid w:val="00D040AE"/>
    <w:rsid w:val="00D1152B"/>
    <w:rsid w:val="00D30731"/>
    <w:rsid w:val="00D31EE8"/>
    <w:rsid w:val="00D32168"/>
    <w:rsid w:val="00D33981"/>
    <w:rsid w:val="00D379E8"/>
    <w:rsid w:val="00D37D29"/>
    <w:rsid w:val="00D41F38"/>
    <w:rsid w:val="00D5571E"/>
    <w:rsid w:val="00D74EA9"/>
    <w:rsid w:val="00D81CF1"/>
    <w:rsid w:val="00D82C57"/>
    <w:rsid w:val="00D84EB6"/>
    <w:rsid w:val="00D91F2F"/>
    <w:rsid w:val="00D97D6D"/>
    <w:rsid w:val="00DA0D9B"/>
    <w:rsid w:val="00DB5461"/>
    <w:rsid w:val="00DB54E7"/>
    <w:rsid w:val="00DC4D9A"/>
    <w:rsid w:val="00DD7D92"/>
    <w:rsid w:val="00DF06BD"/>
    <w:rsid w:val="00DF0854"/>
    <w:rsid w:val="00DF73DD"/>
    <w:rsid w:val="00E06F4D"/>
    <w:rsid w:val="00E0779C"/>
    <w:rsid w:val="00E127B5"/>
    <w:rsid w:val="00E16590"/>
    <w:rsid w:val="00E2118D"/>
    <w:rsid w:val="00E30D7E"/>
    <w:rsid w:val="00E3451E"/>
    <w:rsid w:val="00E358BD"/>
    <w:rsid w:val="00E4334F"/>
    <w:rsid w:val="00E44745"/>
    <w:rsid w:val="00E53AFC"/>
    <w:rsid w:val="00E56833"/>
    <w:rsid w:val="00E639DE"/>
    <w:rsid w:val="00E71BC3"/>
    <w:rsid w:val="00E71C2E"/>
    <w:rsid w:val="00E71DE9"/>
    <w:rsid w:val="00E733DE"/>
    <w:rsid w:val="00E85C96"/>
    <w:rsid w:val="00E93CC6"/>
    <w:rsid w:val="00E972FF"/>
    <w:rsid w:val="00EA53E8"/>
    <w:rsid w:val="00EA71F5"/>
    <w:rsid w:val="00EB4CC2"/>
    <w:rsid w:val="00EB6E21"/>
    <w:rsid w:val="00EC6DE6"/>
    <w:rsid w:val="00EE284B"/>
    <w:rsid w:val="00EF28F6"/>
    <w:rsid w:val="00EF2B9B"/>
    <w:rsid w:val="00F009B5"/>
    <w:rsid w:val="00F144EA"/>
    <w:rsid w:val="00F14954"/>
    <w:rsid w:val="00F225BD"/>
    <w:rsid w:val="00F23C84"/>
    <w:rsid w:val="00F249B8"/>
    <w:rsid w:val="00F266FD"/>
    <w:rsid w:val="00F307DB"/>
    <w:rsid w:val="00F33C29"/>
    <w:rsid w:val="00F55755"/>
    <w:rsid w:val="00F559AD"/>
    <w:rsid w:val="00F66A01"/>
    <w:rsid w:val="00F67C22"/>
    <w:rsid w:val="00F9072B"/>
    <w:rsid w:val="00F922E4"/>
    <w:rsid w:val="00F96C71"/>
    <w:rsid w:val="00FA1AC5"/>
    <w:rsid w:val="00FA5861"/>
    <w:rsid w:val="00FB0E72"/>
    <w:rsid w:val="00FC0B44"/>
    <w:rsid w:val="00FD211B"/>
    <w:rsid w:val="00FD3B71"/>
    <w:rsid w:val="00FD576C"/>
    <w:rsid w:val="00FF1A33"/>
    <w:rsid w:val="00FF22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40"/>
  </w:style>
  <w:style w:type="paragraph" w:styleId="1">
    <w:name w:val="heading 1"/>
    <w:basedOn w:val="a"/>
    <w:next w:val="a"/>
    <w:link w:val="10"/>
    <w:qFormat/>
    <w:rsid w:val="00EC6DE6"/>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844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_IRAO,List Paragraph_0"/>
    <w:basedOn w:val="a"/>
    <w:uiPriority w:val="34"/>
    <w:qFormat/>
    <w:rsid w:val="00D41F38"/>
    <w:pPr>
      <w:ind w:left="720"/>
      <w:contextualSpacing/>
    </w:pPr>
    <w:rPr>
      <w:rFonts w:ascii="Calibri" w:eastAsia="Calibri" w:hAnsi="Calibri" w:cs="Times New Roman"/>
    </w:rPr>
  </w:style>
  <w:style w:type="paragraph" w:styleId="a4">
    <w:name w:val="No Spacing"/>
    <w:link w:val="a5"/>
    <w:uiPriority w:val="1"/>
    <w:qFormat/>
    <w:rsid w:val="00046605"/>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046605"/>
    <w:rPr>
      <w:rFonts w:ascii="Times New Roman" w:eastAsia="Times New Roman" w:hAnsi="Times New Roman" w:cs="Times New Roman"/>
      <w:sz w:val="24"/>
      <w:szCs w:val="24"/>
      <w:lang w:eastAsia="ru-RU"/>
    </w:rPr>
  </w:style>
  <w:style w:type="character" w:customStyle="1" w:styleId="FontStyle48">
    <w:name w:val="Font Style48"/>
    <w:basedOn w:val="a0"/>
    <w:qFormat/>
    <w:rsid w:val="00046605"/>
    <w:rPr>
      <w:rFonts w:ascii="Times New Roman" w:hAnsi="Times New Roman" w:cs="Times New Roman"/>
      <w:sz w:val="26"/>
      <w:szCs w:val="26"/>
    </w:rPr>
  </w:style>
  <w:style w:type="character" w:customStyle="1" w:styleId="FontStyle74">
    <w:name w:val="Font Style74"/>
    <w:basedOn w:val="a0"/>
    <w:uiPriority w:val="99"/>
    <w:rsid w:val="00046605"/>
    <w:rPr>
      <w:rFonts w:ascii="Constantia" w:hAnsi="Constantia" w:cs="Constantia"/>
      <w:b/>
      <w:bCs/>
      <w:sz w:val="24"/>
      <w:szCs w:val="24"/>
    </w:rPr>
  </w:style>
  <w:style w:type="paragraph" w:customStyle="1" w:styleId="Style31">
    <w:name w:val="Style31"/>
    <w:basedOn w:val="a"/>
    <w:qFormat/>
    <w:rsid w:val="0004660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60">
    <w:name w:val="Font Style60"/>
    <w:basedOn w:val="a0"/>
    <w:qFormat/>
    <w:rsid w:val="00046605"/>
    <w:rPr>
      <w:rFonts w:ascii="Times New Roman" w:hAnsi="Times New Roman" w:cs="Times New Roman"/>
      <w:sz w:val="26"/>
      <w:szCs w:val="26"/>
    </w:rPr>
  </w:style>
  <w:style w:type="character" w:customStyle="1" w:styleId="FontStyle84">
    <w:name w:val="Font Style84"/>
    <w:basedOn w:val="a0"/>
    <w:qFormat/>
    <w:rsid w:val="00046605"/>
    <w:rPr>
      <w:rFonts w:ascii="Times New Roman" w:hAnsi="Times New Roman" w:cs="Times New Roman"/>
      <w:b/>
      <w:bCs/>
      <w:sz w:val="26"/>
      <w:szCs w:val="26"/>
    </w:rPr>
  </w:style>
  <w:style w:type="character" w:customStyle="1" w:styleId="FontStyle64">
    <w:name w:val="Font Style64"/>
    <w:basedOn w:val="a0"/>
    <w:uiPriority w:val="99"/>
    <w:rsid w:val="00046605"/>
    <w:rPr>
      <w:rFonts w:ascii="Times New Roman" w:hAnsi="Times New Roman" w:cs="Times New Roman"/>
      <w:spacing w:val="20"/>
      <w:sz w:val="24"/>
      <w:szCs w:val="24"/>
    </w:rPr>
  </w:style>
  <w:style w:type="paragraph" w:customStyle="1" w:styleId="Style41">
    <w:name w:val="Style41"/>
    <w:basedOn w:val="a"/>
    <w:qFormat/>
    <w:rsid w:val="00046605"/>
    <w:pPr>
      <w:widowControl w:val="0"/>
      <w:autoSpaceDE w:val="0"/>
      <w:autoSpaceDN w:val="0"/>
      <w:adjustRightInd w:val="0"/>
      <w:spacing w:after="0" w:line="317" w:lineRule="exact"/>
      <w:ind w:firstLine="336"/>
    </w:pPr>
    <w:rPr>
      <w:rFonts w:ascii="Times New Roman" w:eastAsia="Times New Roman" w:hAnsi="Times New Roman" w:cs="Times New Roman"/>
      <w:sz w:val="24"/>
      <w:szCs w:val="24"/>
      <w:lang w:eastAsia="ru-RU"/>
    </w:rPr>
  </w:style>
  <w:style w:type="paragraph" w:customStyle="1" w:styleId="Style29">
    <w:name w:val="Style29"/>
    <w:basedOn w:val="a"/>
    <w:qFormat/>
    <w:rsid w:val="00046605"/>
    <w:pPr>
      <w:widowControl w:val="0"/>
      <w:autoSpaceDE w:val="0"/>
      <w:autoSpaceDN w:val="0"/>
      <w:adjustRightInd w:val="0"/>
      <w:spacing w:after="0" w:line="317" w:lineRule="exact"/>
      <w:ind w:firstLine="422"/>
      <w:jc w:val="both"/>
    </w:pPr>
    <w:rPr>
      <w:rFonts w:ascii="Times New Roman" w:eastAsia="Times New Roman" w:hAnsi="Times New Roman" w:cs="Times New Roman"/>
      <w:sz w:val="24"/>
      <w:szCs w:val="24"/>
      <w:lang w:eastAsia="ru-RU"/>
    </w:rPr>
  </w:style>
  <w:style w:type="paragraph" w:customStyle="1" w:styleId="Style30">
    <w:name w:val="Style30"/>
    <w:basedOn w:val="a"/>
    <w:qFormat/>
    <w:rsid w:val="000466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5">
    <w:name w:val="Font Style85"/>
    <w:basedOn w:val="a0"/>
    <w:qFormat/>
    <w:rsid w:val="00046605"/>
    <w:rPr>
      <w:rFonts w:ascii="Times New Roman" w:hAnsi="Times New Roman" w:cs="Times New Roman"/>
      <w:sz w:val="24"/>
      <w:szCs w:val="24"/>
    </w:rPr>
  </w:style>
  <w:style w:type="paragraph" w:styleId="a6">
    <w:name w:val="Balloon Text"/>
    <w:basedOn w:val="a"/>
    <w:link w:val="a7"/>
    <w:uiPriority w:val="99"/>
    <w:semiHidden/>
    <w:unhideWhenUsed/>
    <w:rsid w:val="000466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6605"/>
    <w:rPr>
      <w:rFonts w:ascii="Tahoma" w:hAnsi="Tahoma" w:cs="Tahoma"/>
      <w:sz w:val="16"/>
      <w:szCs w:val="16"/>
    </w:rPr>
  </w:style>
  <w:style w:type="paragraph" w:styleId="a8">
    <w:name w:val="Body Text"/>
    <w:basedOn w:val="a"/>
    <w:link w:val="a9"/>
    <w:rsid w:val="00046605"/>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046605"/>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EC6DE6"/>
    <w:rPr>
      <w:rFonts w:ascii="Arial" w:eastAsia="Times New Roman" w:hAnsi="Arial" w:cs="Times New Roman"/>
      <w:b/>
      <w:bCs/>
      <w:kern w:val="32"/>
      <w:sz w:val="32"/>
      <w:szCs w:val="32"/>
      <w:lang w:eastAsia="ru-RU"/>
    </w:rPr>
  </w:style>
  <w:style w:type="paragraph" w:styleId="aa">
    <w:name w:val="header"/>
    <w:basedOn w:val="a"/>
    <w:link w:val="ab"/>
    <w:uiPriority w:val="99"/>
    <w:semiHidden/>
    <w:unhideWhenUsed/>
    <w:rsid w:val="0025311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5311B"/>
  </w:style>
  <w:style w:type="paragraph" w:styleId="ac">
    <w:name w:val="footer"/>
    <w:basedOn w:val="a"/>
    <w:link w:val="ad"/>
    <w:unhideWhenUsed/>
    <w:rsid w:val="0025311B"/>
    <w:pPr>
      <w:tabs>
        <w:tab w:val="center" w:pos="4677"/>
        <w:tab w:val="right" w:pos="9355"/>
      </w:tabs>
      <w:spacing w:after="0" w:line="240" w:lineRule="auto"/>
    </w:pPr>
  </w:style>
  <w:style w:type="character" w:customStyle="1" w:styleId="ad">
    <w:name w:val="Нижний колонтитул Знак"/>
    <w:basedOn w:val="a0"/>
    <w:link w:val="ac"/>
    <w:rsid w:val="0025311B"/>
  </w:style>
  <w:style w:type="character" w:customStyle="1" w:styleId="FontStyle39">
    <w:name w:val="Font Style39"/>
    <w:uiPriority w:val="99"/>
    <w:rsid w:val="008656AA"/>
    <w:rPr>
      <w:rFonts w:ascii="Times New Roman" w:hAnsi="Times New Roman" w:cs="Times New Roman"/>
      <w:sz w:val="26"/>
      <w:szCs w:val="26"/>
    </w:rPr>
  </w:style>
  <w:style w:type="paragraph" w:styleId="ae">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qFormat/>
    <w:rsid w:val="00865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Базовый"/>
    <w:rsid w:val="008656AA"/>
    <w:pPr>
      <w:tabs>
        <w:tab w:val="left" w:pos="708"/>
      </w:tabs>
      <w:suppressAutoHyphens/>
    </w:pPr>
    <w:rPr>
      <w:rFonts w:ascii="Times New Roman" w:eastAsia="Times New Roman" w:hAnsi="Times New Roman" w:cs="Times New Roman"/>
      <w:color w:val="00000A"/>
      <w:sz w:val="24"/>
      <w:szCs w:val="24"/>
      <w:lang w:eastAsia="ru-RU"/>
    </w:rPr>
  </w:style>
  <w:style w:type="paragraph" w:customStyle="1" w:styleId="Style13">
    <w:name w:val="Style13"/>
    <w:basedOn w:val="a"/>
    <w:qFormat/>
    <w:rsid w:val="007B618B"/>
    <w:pPr>
      <w:widowControl w:val="0"/>
      <w:autoSpaceDE w:val="0"/>
      <w:autoSpaceDN w:val="0"/>
      <w:adjustRightInd w:val="0"/>
      <w:spacing w:after="0" w:line="276" w:lineRule="exact"/>
      <w:ind w:firstLine="662"/>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B618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2">
    <w:name w:val="Font Style52"/>
    <w:basedOn w:val="a0"/>
    <w:qFormat/>
    <w:rsid w:val="007B618B"/>
    <w:rPr>
      <w:rFonts w:ascii="Times New Roman" w:hAnsi="Times New Roman" w:cs="Times New Roman"/>
      <w:sz w:val="22"/>
      <w:szCs w:val="22"/>
    </w:rPr>
  </w:style>
  <w:style w:type="character" w:customStyle="1" w:styleId="FontStyle81">
    <w:name w:val="Font Style81"/>
    <w:basedOn w:val="a0"/>
    <w:qFormat/>
    <w:rsid w:val="007B618B"/>
    <w:rPr>
      <w:rFonts w:ascii="Times New Roman" w:hAnsi="Times New Roman" w:cs="Times New Roman"/>
      <w:b/>
      <w:bCs/>
      <w:sz w:val="22"/>
      <w:szCs w:val="22"/>
    </w:rPr>
  </w:style>
  <w:style w:type="paragraph" w:customStyle="1" w:styleId="Style24">
    <w:name w:val="Style24"/>
    <w:basedOn w:val="a"/>
    <w:qFormat/>
    <w:rsid w:val="007B618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440112"/>
    <w:rPr>
      <w:rFonts w:ascii="Georgia" w:hAnsi="Georgia" w:cs="Georgia"/>
      <w:b/>
      <w:bCs/>
      <w:sz w:val="22"/>
      <w:szCs w:val="22"/>
    </w:rPr>
  </w:style>
  <w:style w:type="paragraph" w:customStyle="1" w:styleId="Style1">
    <w:name w:val="Style1"/>
    <w:basedOn w:val="a"/>
    <w:uiPriority w:val="99"/>
    <w:rsid w:val="00440112"/>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17">
    <w:name w:val="Font Style17"/>
    <w:basedOn w:val="a0"/>
    <w:rsid w:val="00440112"/>
    <w:rPr>
      <w:rFonts w:ascii="Times New Roman" w:hAnsi="Times New Roman" w:cs="Times New Roman"/>
      <w:sz w:val="26"/>
      <w:szCs w:val="26"/>
    </w:rPr>
  </w:style>
  <w:style w:type="paragraph" w:customStyle="1" w:styleId="Style28">
    <w:name w:val="Style28"/>
    <w:basedOn w:val="a"/>
    <w:qFormat/>
    <w:rsid w:val="00440112"/>
    <w:pPr>
      <w:widowControl w:val="0"/>
      <w:autoSpaceDE w:val="0"/>
      <w:autoSpaceDN w:val="0"/>
      <w:adjustRightInd w:val="0"/>
      <w:spacing w:after="0" w:line="317" w:lineRule="exact"/>
      <w:ind w:firstLine="845"/>
      <w:jc w:val="both"/>
    </w:pPr>
    <w:rPr>
      <w:rFonts w:ascii="Times New Roman" w:eastAsia="Times New Roman" w:hAnsi="Times New Roman" w:cs="Times New Roman"/>
      <w:sz w:val="24"/>
      <w:szCs w:val="24"/>
      <w:lang w:eastAsia="ru-RU"/>
    </w:rPr>
  </w:style>
  <w:style w:type="paragraph" w:customStyle="1" w:styleId="ConsPlusNormal">
    <w:name w:val="ConsPlusNormal"/>
    <w:qFormat/>
    <w:rsid w:val="006F5193"/>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WW8Num11z4">
    <w:name w:val="WW8Num11z4"/>
    <w:qFormat/>
    <w:rsid w:val="00D32168"/>
  </w:style>
  <w:style w:type="paragraph" w:customStyle="1" w:styleId="WW-">
    <w:name w:val="WW-Базовый"/>
    <w:qFormat/>
    <w:rsid w:val="007506DA"/>
    <w:pPr>
      <w:tabs>
        <w:tab w:val="left" w:pos="708"/>
      </w:tabs>
      <w:suppressAutoHyphens/>
    </w:pPr>
    <w:rPr>
      <w:rFonts w:ascii="Times New Roman" w:eastAsia="Times New Roman" w:hAnsi="Times New Roman" w:cs="Times New Roman"/>
      <w:color w:val="00000A"/>
      <w:sz w:val="24"/>
      <w:szCs w:val="24"/>
      <w:lang w:eastAsia="zh-CN"/>
    </w:rPr>
  </w:style>
  <w:style w:type="character" w:styleId="af0">
    <w:name w:val="Emphasis"/>
    <w:basedOn w:val="a0"/>
    <w:qFormat/>
    <w:rsid w:val="00833FB6"/>
    <w:rPr>
      <w:i/>
      <w:iCs/>
    </w:rPr>
  </w:style>
  <w:style w:type="character" w:customStyle="1" w:styleId="WW8Num1z4">
    <w:name w:val="WW8Num1z4"/>
    <w:qFormat/>
    <w:rsid w:val="008165FF"/>
  </w:style>
  <w:style w:type="character" w:customStyle="1" w:styleId="WW8Num1z0">
    <w:name w:val="WW8Num1z0"/>
    <w:qFormat/>
    <w:rsid w:val="00C73D13"/>
  </w:style>
  <w:style w:type="character" w:customStyle="1" w:styleId="20">
    <w:name w:val="Заголовок 2 Знак"/>
    <w:basedOn w:val="a0"/>
    <w:link w:val="2"/>
    <w:uiPriority w:val="9"/>
    <w:semiHidden/>
    <w:rsid w:val="00844286"/>
    <w:rPr>
      <w:rFonts w:asciiTheme="majorHAnsi" w:eastAsiaTheme="majorEastAsia" w:hAnsiTheme="majorHAnsi" w:cstheme="majorBidi"/>
      <w:b/>
      <w:bCs/>
      <w:color w:val="4F81BD" w:themeColor="accent1"/>
      <w:sz w:val="26"/>
      <w:szCs w:val="26"/>
    </w:rPr>
  </w:style>
  <w:style w:type="character" w:customStyle="1" w:styleId="11">
    <w:name w:val="Основной текст1"/>
    <w:basedOn w:val="a0"/>
    <w:qFormat/>
    <w:rsid w:val="009E5440"/>
    <w:rPr>
      <w:rFonts w:ascii="Times New Roman" w:eastAsia="Times New Roman" w:hAnsi="Times New Roman" w:cs="Times New Roman" w:hint="default"/>
      <w:color w:val="000000"/>
      <w:spacing w:val="0"/>
      <w:w w:val="100"/>
      <w:sz w:val="24"/>
      <w:szCs w:val="24"/>
      <w:shd w:val="clear" w:color="auto" w:fill="FFFFFF"/>
      <w:lang w:val="ru-RU" w:eastAsia="ru-RU" w:bidi="ru-RU"/>
    </w:rPr>
  </w:style>
  <w:style w:type="character" w:customStyle="1" w:styleId="fontstyle01">
    <w:name w:val="fontstyle01"/>
    <w:rsid w:val="00B1318B"/>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84B6C"/>
    <w:rPr>
      <w:rFonts w:ascii="TimesNewRomanPS-ItalicMT" w:hAnsi="TimesNewRomanPS-ItalicMT" w:hint="default"/>
      <w:b w:val="0"/>
      <w:bCs w:val="0"/>
      <w:i/>
      <w:iCs/>
      <w:color w:val="000000"/>
      <w:sz w:val="28"/>
      <w:szCs w:val="28"/>
    </w:rPr>
  </w:style>
</w:styles>
</file>

<file path=word/webSettings.xml><?xml version="1.0" encoding="utf-8"?>
<w:webSettings xmlns:r="http://schemas.openxmlformats.org/officeDocument/2006/relationships" xmlns:w="http://schemas.openxmlformats.org/wordprocessingml/2006/main">
  <w:divs>
    <w:div w:id="1125944">
      <w:bodyDiv w:val="1"/>
      <w:marLeft w:val="0"/>
      <w:marRight w:val="0"/>
      <w:marTop w:val="0"/>
      <w:marBottom w:val="0"/>
      <w:divBdr>
        <w:top w:val="none" w:sz="0" w:space="0" w:color="auto"/>
        <w:left w:val="none" w:sz="0" w:space="0" w:color="auto"/>
        <w:bottom w:val="none" w:sz="0" w:space="0" w:color="auto"/>
        <w:right w:val="none" w:sz="0" w:space="0" w:color="auto"/>
      </w:divBdr>
    </w:div>
    <w:div w:id="30427550">
      <w:bodyDiv w:val="1"/>
      <w:marLeft w:val="0"/>
      <w:marRight w:val="0"/>
      <w:marTop w:val="0"/>
      <w:marBottom w:val="0"/>
      <w:divBdr>
        <w:top w:val="none" w:sz="0" w:space="0" w:color="auto"/>
        <w:left w:val="none" w:sz="0" w:space="0" w:color="auto"/>
        <w:bottom w:val="none" w:sz="0" w:space="0" w:color="auto"/>
        <w:right w:val="none" w:sz="0" w:space="0" w:color="auto"/>
      </w:divBdr>
    </w:div>
    <w:div w:id="62224378">
      <w:bodyDiv w:val="1"/>
      <w:marLeft w:val="0"/>
      <w:marRight w:val="0"/>
      <w:marTop w:val="0"/>
      <w:marBottom w:val="0"/>
      <w:divBdr>
        <w:top w:val="none" w:sz="0" w:space="0" w:color="auto"/>
        <w:left w:val="none" w:sz="0" w:space="0" w:color="auto"/>
        <w:bottom w:val="none" w:sz="0" w:space="0" w:color="auto"/>
        <w:right w:val="none" w:sz="0" w:space="0" w:color="auto"/>
      </w:divBdr>
    </w:div>
    <w:div w:id="152644821">
      <w:bodyDiv w:val="1"/>
      <w:marLeft w:val="0"/>
      <w:marRight w:val="0"/>
      <w:marTop w:val="0"/>
      <w:marBottom w:val="0"/>
      <w:divBdr>
        <w:top w:val="none" w:sz="0" w:space="0" w:color="auto"/>
        <w:left w:val="none" w:sz="0" w:space="0" w:color="auto"/>
        <w:bottom w:val="none" w:sz="0" w:space="0" w:color="auto"/>
        <w:right w:val="none" w:sz="0" w:space="0" w:color="auto"/>
      </w:divBdr>
    </w:div>
    <w:div w:id="206338751">
      <w:bodyDiv w:val="1"/>
      <w:marLeft w:val="0"/>
      <w:marRight w:val="0"/>
      <w:marTop w:val="0"/>
      <w:marBottom w:val="0"/>
      <w:divBdr>
        <w:top w:val="none" w:sz="0" w:space="0" w:color="auto"/>
        <w:left w:val="none" w:sz="0" w:space="0" w:color="auto"/>
        <w:bottom w:val="none" w:sz="0" w:space="0" w:color="auto"/>
        <w:right w:val="none" w:sz="0" w:space="0" w:color="auto"/>
      </w:divBdr>
    </w:div>
    <w:div w:id="265699961">
      <w:bodyDiv w:val="1"/>
      <w:marLeft w:val="0"/>
      <w:marRight w:val="0"/>
      <w:marTop w:val="0"/>
      <w:marBottom w:val="0"/>
      <w:divBdr>
        <w:top w:val="none" w:sz="0" w:space="0" w:color="auto"/>
        <w:left w:val="none" w:sz="0" w:space="0" w:color="auto"/>
        <w:bottom w:val="none" w:sz="0" w:space="0" w:color="auto"/>
        <w:right w:val="none" w:sz="0" w:space="0" w:color="auto"/>
      </w:divBdr>
    </w:div>
    <w:div w:id="267547602">
      <w:bodyDiv w:val="1"/>
      <w:marLeft w:val="0"/>
      <w:marRight w:val="0"/>
      <w:marTop w:val="0"/>
      <w:marBottom w:val="0"/>
      <w:divBdr>
        <w:top w:val="none" w:sz="0" w:space="0" w:color="auto"/>
        <w:left w:val="none" w:sz="0" w:space="0" w:color="auto"/>
        <w:bottom w:val="none" w:sz="0" w:space="0" w:color="auto"/>
        <w:right w:val="none" w:sz="0" w:space="0" w:color="auto"/>
      </w:divBdr>
    </w:div>
    <w:div w:id="273244730">
      <w:bodyDiv w:val="1"/>
      <w:marLeft w:val="0"/>
      <w:marRight w:val="0"/>
      <w:marTop w:val="0"/>
      <w:marBottom w:val="0"/>
      <w:divBdr>
        <w:top w:val="none" w:sz="0" w:space="0" w:color="auto"/>
        <w:left w:val="none" w:sz="0" w:space="0" w:color="auto"/>
        <w:bottom w:val="none" w:sz="0" w:space="0" w:color="auto"/>
        <w:right w:val="none" w:sz="0" w:space="0" w:color="auto"/>
      </w:divBdr>
    </w:div>
    <w:div w:id="305359941">
      <w:bodyDiv w:val="1"/>
      <w:marLeft w:val="0"/>
      <w:marRight w:val="0"/>
      <w:marTop w:val="0"/>
      <w:marBottom w:val="0"/>
      <w:divBdr>
        <w:top w:val="none" w:sz="0" w:space="0" w:color="auto"/>
        <w:left w:val="none" w:sz="0" w:space="0" w:color="auto"/>
        <w:bottom w:val="none" w:sz="0" w:space="0" w:color="auto"/>
        <w:right w:val="none" w:sz="0" w:space="0" w:color="auto"/>
      </w:divBdr>
    </w:div>
    <w:div w:id="453642639">
      <w:bodyDiv w:val="1"/>
      <w:marLeft w:val="0"/>
      <w:marRight w:val="0"/>
      <w:marTop w:val="0"/>
      <w:marBottom w:val="0"/>
      <w:divBdr>
        <w:top w:val="none" w:sz="0" w:space="0" w:color="auto"/>
        <w:left w:val="none" w:sz="0" w:space="0" w:color="auto"/>
        <w:bottom w:val="none" w:sz="0" w:space="0" w:color="auto"/>
        <w:right w:val="none" w:sz="0" w:space="0" w:color="auto"/>
      </w:divBdr>
    </w:div>
    <w:div w:id="491918891">
      <w:bodyDiv w:val="1"/>
      <w:marLeft w:val="0"/>
      <w:marRight w:val="0"/>
      <w:marTop w:val="0"/>
      <w:marBottom w:val="0"/>
      <w:divBdr>
        <w:top w:val="none" w:sz="0" w:space="0" w:color="auto"/>
        <w:left w:val="none" w:sz="0" w:space="0" w:color="auto"/>
        <w:bottom w:val="none" w:sz="0" w:space="0" w:color="auto"/>
        <w:right w:val="none" w:sz="0" w:space="0" w:color="auto"/>
      </w:divBdr>
    </w:div>
    <w:div w:id="509836349">
      <w:bodyDiv w:val="1"/>
      <w:marLeft w:val="0"/>
      <w:marRight w:val="0"/>
      <w:marTop w:val="0"/>
      <w:marBottom w:val="0"/>
      <w:divBdr>
        <w:top w:val="none" w:sz="0" w:space="0" w:color="auto"/>
        <w:left w:val="none" w:sz="0" w:space="0" w:color="auto"/>
        <w:bottom w:val="none" w:sz="0" w:space="0" w:color="auto"/>
        <w:right w:val="none" w:sz="0" w:space="0" w:color="auto"/>
      </w:divBdr>
    </w:div>
    <w:div w:id="564414901">
      <w:bodyDiv w:val="1"/>
      <w:marLeft w:val="0"/>
      <w:marRight w:val="0"/>
      <w:marTop w:val="0"/>
      <w:marBottom w:val="0"/>
      <w:divBdr>
        <w:top w:val="none" w:sz="0" w:space="0" w:color="auto"/>
        <w:left w:val="none" w:sz="0" w:space="0" w:color="auto"/>
        <w:bottom w:val="none" w:sz="0" w:space="0" w:color="auto"/>
        <w:right w:val="none" w:sz="0" w:space="0" w:color="auto"/>
      </w:divBdr>
    </w:div>
    <w:div w:id="571157347">
      <w:bodyDiv w:val="1"/>
      <w:marLeft w:val="0"/>
      <w:marRight w:val="0"/>
      <w:marTop w:val="0"/>
      <w:marBottom w:val="0"/>
      <w:divBdr>
        <w:top w:val="none" w:sz="0" w:space="0" w:color="auto"/>
        <w:left w:val="none" w:sz="0" w:space="0" w:color="auto"/>
        <w:bottom w:val="none" w:sz="0" w:space="0" w:color="auto"/>
        <w:right w:val="none" w:sz="0" w:space="0" w:color="auto"/>
      </w:divBdr>
    </w:div>
    <w:div w:id="574242207">
      <w:bodyDiv w:val="1"/>
      <w:marLeft w:val="0"/>
      <w:marRight w:val="0"/>
      <w:marTop w:val="0"/>
      <w:marBottom w:val="0"/>
      <w:divBdr>
        <w:top w:val="none" w:sz="0" w:space="0" w:color="auto"/>
        <w:left w:val="none" w:sz="0" w:space="0" w:color="auto"/>
        <w:bottom w:val="none" w:sz="0" w:space="0" w:color="auto"/>
        <w:right w:val="none" w:sz="0" w:space="0" w:color="auto"/>
      </w:divBdr>
    </w:div>
    <w:div w:id="721097262">
      <w:bodyDiv w:val="1"/>
      <w:marLeft w:val="0"/>
      <w:marRight w:val="0"/>
      <w:marTop w:val="0"/>
      <w:marBottom w:val="0"/>
      <w:divBdr>
        <w:top w:val="none" w:sz="0" w:space="0" w:color="auto"/>
        <w:left w:val="none" w:sz="0" w:space="0" w:color="auto"/>
        <w:bottom w:val="none" w:sz="0" w:space="0" w:color="auto"/>
        <w:right w:val="none" w:sz="0" w:space="0" w:color="auto"/>
      </w:divBdr>
    </w:div>
    <w:div w:id="893194690">
      <w:bodyDiv w:val="1"/>
      <w:marLeft w:val="0"/>
      <w:marRight w:val="0"/>
      <w:marTop w:val="0"/>
      <w:marBottom w:val="0"/>
      <w:divBdr>
        <w:top w:val="none" w:sz="0" w:space="0" w:color="auto"/>
        <w:left w:val="none" w:sz="0" w:space="0" w:color="auto"/>
        <w:bottom w:val="none" w:sz="0" w:space="0" w:color="auto"/>
        <w:right w:val="none" w:sz="0" w:space="0" w:color="auto"/>
      </w:divBdr>
    </w:div>
    <w:div w:id="1007634424">
      <w:bodyDiv w:val="1"/>
      <w:marLeft w:val="0"/>
      <w:marRight w:val="0"/>
      <w:marTop w:val="0"/>
      <w:marBottom w:val="0"/>
      <w:divBdr>
        <w:top w:val="none" w:sz="0" w:space="0" w:color="auto"/>
        <w:left w:val="none" w:sz="0" w:space="0" w:color="auto"/>
        <w:bottom w:val="none" w:sz="0" w:space="0" w:color="auto"/>
        <w:right w:val="none" w:sz="0" w:space="0" w:color="auto"/>
      </w:divBdr>
    </w:div>
    <w:div w:id="1013454845">
      <w:bodyDiv w:val="1"/>
      <w:marLeft w:val="0"/>
      <w:marRight w:val="0"/>
      <w:marTop w:val="0"/>
      <w:marBottom w:val="0"/>
      <w:divBdr>
        <w:top w:val="none" w:sz="0" w:space="0" w:color="auto"/>
        <w:left w:val="none" w:sz="0" w:space="0" w:color="auto"/>
        <w:bottom w:val="none" w:sz="0" w:space="0" w:color="auto"/>
        <w:right w:val="none" w:sz="0" w:space="0" w:color="auto"/>
      </w:divBdr>
    </w:div>
    <w:div w:id="1015380271">
      <w:bodyDiv w:val="1"/>
      <w:marLeft w:val="0"/>
      <w:marRight w:val="0"/>
      <w:marTop w:val="0"/>
      <w:marBottom w:val="0"/>
      <w:divBdr>
        <w:top w:val="none" w:sz="0" w:space="0" w:color="auto"/>
        <w:left w:val="none" w:sz="0" w:space="0" w:color="auto"/>
        <w:bottom w:val="none" w:sz="0" w:space="0" w:color="auto"/>
        <w:right w:val="none" w:sz="0" w:space="0" w:color="auto"/>
      </w:divBdr>
    </w:div>
    <w:div w:id="1040284162">
      <w:bodyDiv w:val="1"/>
      <w:marLeft w:val="0"/>
      <w:marRight w:val="0"/>
      <w:marTop w:val="0"/>
      <w:marBottom w:val="0"/>
      <w:divBdr>
        <w:top w:val="none" w:sz="0" w:space="0" w:color="auto"/>
        <w:left w:val="none" w:sz="0" w:space="0" w:color="auto"/>
        <w:bottom w:val="none" w:sz="0" w:space="0" w:color="auto"/>
        <w:right w:val="none" w:sz="0" w:space="0" w:color="auto"/>
      </w:divBdr>
    </w:div>
    <w:div w:id="1052341948">
      <w:bodyDiv w:val="1"/>
      <w:marLeft w:val="0"/>
      <w:marRight w:val="0"/>
      <w:marTop w:val="0"/>
      <w:marBottom w:val="0"/>
      <w:divBdr>
        <w:top w:val="none" w:sz="0" w:space="0" w:color="auto"/>
        <w:left w:val="none" w:sz="0" w:space="0" w:color="auto"/>
        <w:bottom w:val="none" w:sz="0" w:space="0" w:color="auto"/>
        <w:right w:val="none" w:sz="0" w:space="0" w:color="auto"/>
      </w:divBdr>
    </w:div>
    <w:div w:id="1122073011">
      <w:bodyDiv w:val="1"/>
      <w:marLeft w:val="0"/>
      <w:marRight w:val="0"/>
      <w:marTop w:val="0"/>
      <w:marBottom w:val="0"/>
      <w:divBdr>
        <w:top w:val="none" w:sz="0" w:space="0" w:color="auto"/>
        <w:left w:val="none" w:sz="0" w:space="0" w:color="auto"/>
        <w:bottom w:val="none" w:sz="0" w:space="0" w:color="auto"/>
        <w:right w:val="none" w:sz="0" w:space="0" w:color="auto"/>
      </w:divBdr>
    </w:div>
    <w:div w:id="1128090742">
      <w:bodyDiv w:val="1"/>
      <w:marLeft w:val="0"/>
      <w:marRight w:val="0"/>
      <w:marTop w:val="0"/>
      <w:marBottom w:val="0"/>
      <w:divBdr>
        <w:top w:val="none" w:sz="0" w:space="0" w:color="auto"/>
        <w:left w:val="none" w:sz="0" w:space="0" w:color="auto"/>
        <w:bottom w:val="none" w:sz="0" w:space="0" w:color="auto"/>
        <w:right w:val="none" w:sz="0" w:space="0" w:color="auto"/>
      </w:divBdr>
    </w:div>
    <w:div w:id="1206720011">
      <w:bodyDiv w:val="1"/>
      <w:marLeft w:val="0"/>
      <w:marRight w:val="0"/>
      <w:marTop w:val="0"/>
      <w:marBottom w:val="0"/>
      <w:divBdr>
        <w:top w:val="none" w:sz="0" w:space="0" w:color="auto"/>
        <w:left w:val="none" w:sz="0" w:space="0" w:color="auto"/>
        <w:bottom w:val="none" w:sz="0" w:space="0" w:color="auto"/>
        <w:right w:val="none" w:sz="0" w:space="0" w:color="auto"/>
      </w:divBdr>
    </w:div>
    <w:div w:id="1231382700">
      <w:bodyDiv w:val="1"/>
      <w:marLeft w:val="0"/>
      <w:marRight w:val="0"/>
      <w:marTop w:val="0"/>
      <w:marBottom w:val="0"/>
      <w:divBdr>
        <w:top w:val="none" w:sz="0" w:space="0" w:color="auto"/>
        <w:left w:val="none" w:sz="0" w:space="0" w:color="auto"/>
        <w:bottom w:val="none" w:sz="0" w:space="0" w:color="auto"/>
        <w:right w:val="none" w:sz="0" w:space="0" w:color="auto"/>
      </w:divBdr>
    </w:div>
    <w:div w:id="1268461574">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11540756">
      <w:bodyDiv w:val="1"/>
      <w:marLeft w:val="0"/>
      <w:marRight w:val="0"/>
      <w:marTop w:val="0"/>
      <w:marBottom w:val="0"/>
      <w:divBdr>
        <w:top w:val="none" w:sz="0" w:space="0" w:color="auto"/>
        <w:left w:val="none" w:sz="0" w:space="0" w:color="auto"/>
        <w:bottom w:val="none" w:sz="0" w:space="0" w:color="auto"/>
        <w:right w:val="none" w:sz="0" w:space="0" w:color="auto"/>
      </w:divBdr>
    </w:div>
    <w:div w:id="1478110502">
      <w:bodyDiv w:val="1"/>
      <w:marLeft w:val="0"/>
      <w:marRight w:val="0"/>
      <w:marTop w:val="0"/>
      <w:marBottom w:val="0"/>
      <w:divBdr>
        <w:top w:val="none" w:sz="0" w:space="0" w:color="auto"/>
        <w:left w:val="none" w:sz="0" w:space="0" w:color="auto"/>
        <w:bottom w:val="none" w:sz="0" w:space="0" w:color="auto"/>
        <w:right w:val="none" w:sz="0" w:space="0" w:color="auto"/>
      </w:divBdr>
    </w:div>
    <w:div w:id="1489051494">
      <w:bodyDiv w:val="1"/>
      <w:marLeft w:val="0"/>
      <w:marRight w:val="0"/>
      <w:marTop w:val="0"/>
      <w:marBottom w:val="0"/>
      <w:divBdr>
        <w:top w:val="none" w:sz="0" w:space="0" w:color="auto"/>
        <w:left w:val="none" w:sz="0" w:space="0" w:color="auto"/>
        <w:bottom w:val="none" w:sz="0" w:space="0" w:color="auto"/>
        <w:right w:val="none" w:sz="0" w:space="0" w:color="auto"/>
      </w:divBdr>
    </w:div>
    <w:div w:id="1509710212">
      <w:bodyDiv w:val="1"/>
      <w:marLeft w:val="0"/>
      <w:marRight w:val="0"/>
      <w:marTop w:val="0"/>
      <w:marBottom w:val="0"/>
      <w:divBdr>
        <w:top w:val="none" w:sz="0" w:space="0" w:color="auto"/>
        <w:left w:val="none" w:sz="0" w:space="0" w:color="auto"/>
        <w:bottom w:val="none" w:sz="0" w:space="0" w:color="auto"/>
        <w:right w:val="none" w:sz="0" w:space="0" w:color="auto"/>
      </w:divBdr>
    </w:div>
    <w:div w:id="1511679630">
      <w:bodyDiv w:val="1"/>
      <w:marLeft w:val="0"/>
      <w:marRight w:val="0"/>
      <w:marTop w:val="0"/>
      <w:marBottom w:val="0"/>
      <w:divBdr>
        <w:top w:val="none" w:sz="0" w:space="0" w:color="auto"/>
        <w:left w:val="none" w:sz="0" w:space="0" w:color="auto"/>
        <w:bottom w:val="none" w:sz="0" w:space="0" w:color="auto"/>
        <w:right w:val="none" w:sz="0" w:space="0" w:color="auto"/>
      </w:divBdr>
    </w:div>
    <w:div w:id="1516534709">
      <w:bodyDiv w:val="1"/>
      <w:marLeft w:val="0"/>
      <w:marRight w:val="0"/>
      <w:marTop w:val="0"/>
      <w:marBottom w:val="0"/>
      <w:divBdr>
        <w:top w:val="none" w:sz="0" w:space="0" w:color="auto"/>
        <w:left w:val="none" w:sz="0" w:space="0" w:color="auto"/>
        <w:bottom w:val="none" w:sz="0" w:space="0" w:color="auto"/>
        <w:right w:val="none" w:sz="0" w:space="0" w:color="auto"/>
      </w:divBdr>
    </w:div>
    <w:div w:id="1561210543">
      <w:bodyDiv w:val="1"/>
      <w:marLeft w:val="0"/>
      <w:marRight w:val="0"/>
      <w:marTop w:val="0"/>
      <w:marBottom w:val="0"/>
      <w:divBdr>
        <w:top w:val="none" w:sz="0" w:space="0" w:color="auto"/>
        <w:left w:val="none" w:sz="0" w:space="0" w:color="auto"/>
        <w:bottom w:val="none" w:sz="0" w:space="0" w:color="auto"/>
        <w:right w:val="none" w:sz="0" w:space="0" w:color="auto"/>
      </w:divBdr>
    </w:div>
    <w:div w:id="1563952022">
      <w:bodyDiv w:val="1"/>
      <w:marLeft w:val="0"/>
      <w:marRight w:val="0"/>
      <w:marTop w:val="0"/>
      <w:marBottom w:val="0"/>
      <w:divBdr>
        <w:top w:val="none" w:sz="0" w:space="0" w:color="auto"/>
        <w:left w:val="none" w:sz="0" w:space="0" w:color="auto"/>
        <w:bottom w:val="none" w:sz="0" w:space="0" w:color="auto"/>
        <w:right w:val="none" w:sz="0" w:space="0" w:color="auto"/>
      </w:divBdr>
    </w:div>
    <w:div w:id="1603683943">
      <w:bodyDiv w:val="1"/>
      <w:marLeft w:val="0"/>
      <w:marRight w:val="0"/>
      <w:marTop w:val="0"/>
      <w:marBottom w:val="0"/>
      <w:divBdr>
        <w:top w:val="none" w:sz="0" w:space="0" w:color="auto"/>
        <w:left w:val="none" w:sz="0" w:space="0" w:color="auto"/>
        <w:bottom w:val="none" w:sz="0" w:space="0" w:color="auto"/>
        <w:right w:val="none" w:sz="0" w:space="0" w:color="auto"/>
      </w:divBdr>
    </w:div>
    <w:div w:id="1605305127">
      <w:bodyDiv w:val="1"/>
      <w:marLeft w:val="0"/>
      <w:marRight w:val="0"/>
      <w:marTop w:val="0"/>
      <w:marBottom w:val="0"/>
      <w:divBdr>
        <w:top w:val="none" w:sz="0" w:space="0" w:color="auto"/>
        <w:left w:val="none" w:sz="0" w:space="0" w:color="auto"/>
        <w:bottom w:val="none" w:sz="0" w:space="0" w:color="auto"/>
        <w:right w:val="none" w:sz="0" w:space="0" w:color="auto"/>
      </w:divBdr>
    </w:div>
    <w:div w:id="1636981026">
      <w:bodyDiv w:val="1"/>
      <w:marLeft w:val="0"/>
      <w:marRight w:val="0"/>
      <w:marTop w:val="0"/>
      <w:marBottom w:val="0"/>
      <w:divBdr>
        <w:top w:val="none" w:sz="0" w:space="0" w:color="auto"/>
        <w:left w:val="none" w:sz="0" w:space="0" w:color="auto"/>
        <w:bottom w:val="none" w:sz="0" w:space="0" w:color="auto"/>
        <w:right w:val="none" w:sz="0" w:space="0" w:color="auto"/>
      </w:divBdr>
    </w:div>
    <w:div w:id="1657763950">
      <w:bodyDiv w:val="1"/>
      <w:marLeft w:val="0"/>
      <w:marRight w:val="0"/>
      <w:marTop w:val="0"/>
      <w:marBottom w:val="0"/>
      <w:divBdr>
        <w:top w:val="none" w:sz="0" w:space="0" w:color="auto"/>
        <w:left w:val="none" w:sz="0" w:space="0" w:color="auto"/>
        <w:bottom w:val="none" w:sz="0" w:space="0" w:color="auto"/>
        <w:right w:val="none" w:sz="0" w:space="0" w:color="auto"/>
      </w:divBdr>
    </w:div>
    <w:div w:id="1677539852">
      <w:bodyDiv w:val="1"/>
      <w:marLeft w:val="0"/>
      <w:marRight w:val="0"/>
      <w:marTop w:val="0"/>
      <w:marBottom w:val="0"/>
      <w:divBdr>
        <w:top w:val="none" w:sz="0" w:space="0" w:color="auto"/>
        <w:left w:val="none" w:sz="0" w:space="0" w:color="auto"/>
        <w:bottom w:val="none" w:sz="0" w:space="0" w:color="auto"/>
        <w:right w:val="none" w:sz="0" w:space="0" w:color="auto"/>
      </w:divBdr>
    </w:div>
    <w:div w:id="1742218239">
      <w:bodyDiv w:val="1"/>
      <w:marLeft w:val="0"/>
      <w:marRight w:val="0"/>
      <w:marTop w:val="0"/>
      <w:marBottom w:val="0"/>
      <w:divBdr>
        <w:top w:val="none" w:sz="0" w:space="0" w:color="auto"/>
        <w:left w:val="none" w:sz="0" w:space="0" w:color="auto"/>
        <w:bottom w:val="none" w:sz="0" w:space="0" w:color="auto"/>
        <w:right w:val="none" w:sz="0" w:space="0" w:color="auto"/>
      </w:divBdr>
    </w:div>
    <w:div w:id="1757706086">
      <w:bodyDiv w:val="1"/>
      <w:marLeft w:val="0"/>
      <w:marRight w:val="0"/>
      <w:marTop w:val="0"/>
      <w:marBottom w:val="0"/>
      <w:divBdr>
        <w:top w:val="none" w:sz="0" w:space="0" w:color="auto"/>
        <w:left w:val="none" w:sz="0" w:space="0" w:color="auto"/>
        <w:bottom w:val="none" w:sz="0" w:space="0" w:color="auto"/>
        <w:right w:val="none" w:sz="0" w:space="0" w:color="auto"/>
      </w:divBdr>
    </w:div>
    <w:div w:id="1785418130">
      <w:bodyDiv w:val="1"/>
      <w:marLeft w:val="0"/>
      <w:marRight w:val="0"/>
      <w:marTop w:val="0"/>
      <w:marBottom w:val="0"/>
      <w:divBdr>
        <w:top w:val="none" w:sz="0" w:space="0" w:color="auto"/>
        <w:left w:val="none" w:sz="0" w:space="0" w:color="auto"/>
        <w:bottom w:val="none" w:sz="0" w:space="0" w:color="auto"/>
        <w:right w:val="none" w:sz="0" w:space="0" w:color="auto"/>
      </w:divBdr>
    </w:div>
    <w:div w:id="1799295554">
      <w:bodyDiv w:val="1"/>
      <w:marLeft w:val="0"/>
      <w:marRight w:val="0"/>
      <w:marTop w:val="0"/>
      <w:marBottom w:val="0"/>
      <w:divBdr>
        <w:top w:val="none" w:sz="0" w:space="0" w:color="auto"/>
        <w:left w:val="none" w:sz="0" w:space="0" w:color="auto"/>
        <w:bottom w:val="none" w:sz="0" w:space="0" w:color="auto"/>
        <w:right w:val="none" w:sz="0" w:space="0" w:color="auto"/>
      </w:divBdr>
    </w:div>
    <w:div w:id="1833326094">
      <w:bodyDiv w:val="1"/>
      <w:marLeft w:val="0"/>
      <w:marRight w:val="0"/>
      <w:marTop w:val="0"/>
      <w:marBottom w:val="0"/>
      <w:divBdr>
        <w:top w:val="none" w:sz="0" w:space="0" w:color="auto"/>
        <w:left w:val="none" w:sz="0" w:space="0" w:color="auto"/>
        <w:bottom w:val="none" w:sz="0" w:space="0" w:color="auto"/>
        <w:right w:val="none" w:sz="0" w:space="0" w:color="auto"/>
      </w:divBdr>
    </w:div>
    <w:div w:id="2007661718">
      <w:bodyDiv w:val="1"/>
      <w:marLeft w:val="0"/>
      <w:marRight w:val="0"/>
      <w:marTop w:val="0"/>
      <w:marBottom w:val="0"/>
      <w:divBdr>
        <w:top w:val="none" w:sz="0" w:space="0" w:color="auto"/>
        <w:left w:val="none" w:sz="0" w:space="0" w:color="auto"/>
        <w:bottom w:val="none" w:sz="0" w:space="0" w:color="auto"/>
        <w:right w:val="none" w:sz="0" w:space="0" w:color="auto"/>
      </w:divBdr>
    </w:div>
    <w:div w:id="2022000799">
      <w:bodyDiv w:val="1"/>
      <w:marLeft w:val="0"/>
      <w:marRight w:val="0"/>
      <w:marTop w:val="0"/>
      <w:marBottom w:val="0"/>
      <w:divBdr>
        <w:top w:val="none" w:sz="0" w:space="0" w:color="auto"/>
        <w:left w:val="none" w:sz="0" w:space="0" w:color="auto"/>
        <w:bottom w:val="none" w:sz="0" w:space="0" w:color="auto"/>
        <w:right w:val="none" w:sz="0" w:space="0" w:color="auto"/>
      </w:divBdr>
    </w:div>
    <w:div w:id="2053457582">
      <w:bodyDiv w:val="1"/>
      <w:marLeft w:val="0"/>
      <w:marRight w:val="0"/>
      <w:marTop w:val="0"/>
      <w:marBottom w:val="0"/>
      <w:divBdr>
        <w:top w:val="none" w:sz="0" w:space="0" w:color="auto"/>
        <w:left w:val="none" w:sz="0" w:space="0" w:color="auto"/>
        <w:bottom w:val="none" w:sz="0" w:space="0" w:color="auto"/>
        <w:right w:val="none" w:sz="0" w:space="0" w:color="auto"/>
      </w:divBdr>
    </w:div>
    <w:div w:id="2068601503">
      <w:bodyDiv w:val="1"/>
      <w:marLeft w:val="0"/>
      <w:marRight w:val="0"/>
      <w:marTop w:val="0"/>
      <w:marBottom w:val="0"/>
      <w:divBdr>
        <w:top w:val="none" w:sz="0" w:space="0" w:color="auto"/>
        <w:left w:val="none" w:sz="0" w:space="0" w:color="auto"/>
        <w:bottom w:val="none" w:sz="0" w:space="0" w:color="auto"/>
        <w:right w:val="none" w:sz="0" w:space="0" w:color="auto"/>
      </w:divBdr>
    </w:div>
    <w:div w:id="2074427811">
      <w:bodyDiv w:val="1"/>
      <w:marLeft w:val="0"/>
      <w:marRight w:val="0"/>
      <w:marTop w:val="0"/>
      <w:marBottom w:val="0"/>
      <w:divBdr>
        <w:top w:val="none" w:sz="0" w:space="0" w:color="auto"/>
        <w:left w:val="none" w:sz="0" w:space="0" w:color="auto"/>
        <w:bottom w:val="none" w:sz="0" w:space="0" w:color="auto"/>
        <w:right w:val="none" w:sz="0" w:space="0" w:color="auto"/>
      </w:divBdr>
    </w:div>
    <w:div w:id="21053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1C0E3-7B75-455D-8FBC-A406D68E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4561</Words>
  <Characters>26002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User</cp:lastModifiedBy>
  <cp:revision>98</cp:revision>
  <cp:lastPrinted>2024-04-25T08:32:00Z</cp:lastPrinted>
  <dcterms:created xsi:type="dcterms:W3CDTF">2023-04-26T05:40:00Z</dcterms:created>
  <dcterms:modified xsi:type="dcterms:W3CDTF">2026-04-28T06:46:00Z</dcterms:modified>
</cp:coreProperties>
</file>